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kern w:val="0"/>
          <w:sz w:val="36"/>
          <w:szCs w:val="36"/>
        </w:rPr>
      </w:pPr>
      <w:r>
        <w:rPr>
          <w:rFonts w:hint="eastAsia"/>
          <w:b/>
          <w:bCs/>
          <w:kern w:val="0"/>
          <w:sz w:val="36"/>
          <w:szCs w:val="36"/>
        </w:rPr>
        <w:t>企业自我评估表-高级认证-进出口货物收发货人</w:t>
      </w:r>
    </w:p>
    <w:p>
      <w:pPr>
        <w:ind w:firstLine="560" w:firstLineChars="200"/>
        <w:rPr>
          <w:rFonts w:ascii="Times New Roman" w:hAnsi="Times New Roman"/>
          <w:sz w:val="28"/>
          <w:szCs w:val="28"/>
        </w:rPr>
      </w:pPr>
    </w:p>
    <w:p>
      <w:pPr>
        <w:ind w:firstLine="640" w:firstLineChars="200"/>
        <w:rPr>
          <w:rFonts w:ascii="华文中宋" w:hAnsi="华文中宋" w:eastAsia="华文中宋"/>
          <w:sz w:val="32"/>
          <w:szCs w:val="32"/>
        </w:rPr>
      </w:pPr>
      <w:r>
        <w:rPr>
          <w:rFonts w:hint="eastAsia" w:ascii="华文中宋" w:hAnsi="华文中宋" w:eastAsia="华文中宋"/>
          <w:sz w:val="32"/>
          <w:szCs w:val="32"/>
        </w:rPr>
        <w:t>宁波金钥匙供应链服务有限公司拥有一支具有多年海关业务实操经验的关务专家团队和客服团队，为客户提供专业的业务咨询、专属的解决方案、全面的监督实施，帮助客户提高通关和物流效率，防控合规风险。</w:t>
      </w:r>
    </w:p>
    <w:p>
      <w:pPr>
        <w:rPr>
          <w:rFonts w:ascii="宋体" w:hAnsi="宋体"/>
          <w:sz w:val="28"/>
          <w:szCs w:val="28"/>
        </w:rPr>
      </w:pPr>
    </w:p>
    <w:p>
      <w:pPr>
        <w:ind w:firstLine="562" w:firstLineChars="200"/>
        <w:rPr>
          <w:rFonts w:ascii="宋体" w:hAnsi="宋体"/>
          <w:sz w:val="28"/>
          <w:szCs w:val="28"/>
        </w:rPr>
      </w:pPr>
      <w:r>
        <w:rPr>
          <w:rFonts w:hint="eastAsia" w:ascii="宋体" w:hAnsi="宋体"/>
          <w:b/>
          <w:bCs/>
          <w:color w:val="FF0000"/>
          <w:sz w:val="28"/>
          <w:szCs w:val="28"/>
        </w:rPr>
        <w:t>说明：</w:t>
      </w:r>
      <w:r>
        <w:rPr>
          <w:rFonts w:hint="eastAsia" w:ascii="宋体" w:hAnsi="宋体"/>
          <w:sz w:val="28"/>
          <w:szCs w:val="28"/>
          <w:u w:val="single"/>
        </w:rPr>
        <w:t>本评估表仅为了方便企业对照了解本企业与认证标准的差异，不作为准确评估的依据。</w:t>
      </w:r>
    </w:p>
    <w:p>
      <w:pPr>
        <w:spacing w:line="560" w:lineRule="exact"/>
        <w:ind w:firstLine="640" w:firstLineChars="200"/>
        <w:rPr>
          <w:rFonts w:ascii="Times New Roman" w:hAnsi="Times New Roman" w:eastAsia="方正仿宋_GBK"/>
          <w:sz w:val="32"/>
          <w:szCs w:val="32"/>
        </w:rPr>
      </w:pPr>
      <w:r>
        <w:rPr>
          <w:rFonts w:hint="eastAsia" w:eastAsia="方正黑体_GBK"/>
          <w:sz w:val="32"/>
          <w:szCs w:val="32"/>
        </w:rPr>
        <w:t>一、关于认证标准的赋分规则</w:t>
      </w:r>
    </w:p>
    <w:p>
      <w:pPr>
        <w:spacing w:line="560" w:lineRule="exact"/>
        <w:ind w:firstLine="640" w:firstLineChars="200"/>
        <w:rPr>
          <w:rFonts w:ascii="方正楷体_GBK" w:eastAsia="方正楷体_GBK"/>
          <w:b/>
          <w:bCs/>
          <w:sz w:val="32"/>
          <w:szCs w:val="32"/>
        </w:rPr>
      </w:pPr>
      <w:r>
        <w:rPr>
          <w:rFonts w:hint="eastAsia" w:ascii="方正楷体_GBK" w:eastAsia="方正楷体_GBK"/>
          <w:b/>
          <w:bCs/>
          <w:sz w:val="32"/>
          <w:szCs w:val="32"/>
        </w:rPr>
        <w:t>（一）基础标准赋分规则。</w:t>
      </w:r>
    </w:p>
    <w:p>
      <w:pPr>
        <w:spacing w:line="560" w:lineRule="exact"/>
        <w:ind w:firstLine="640" w:firstLineChars="200"/>
        <w:rPr>
          <w:rFonts w:ascii="方正仿宋_GBK" w:eastAsia="方正仿宋_GBK"/>
          <w:sz w:val="32"/>
          <w:szCs w:val="32"/>
        </w:rPr>
      </w:pPr>
      <w:r>
        <w:rPr>
          <w:rFonts w:hint="eastAsia" w:ascii="方正仿宋_GBK" w:eastAsia="方正仿宋_GBK"/>
          <w:sz w:val="32"/>
          <w:szCs w:val="32"/>
        </w:rPr>
        <w:t>赋分选项分为两种，一是“达标”、“不达标”，对应分值为</w:t>
      </w:r>
      <w:r>
        <w:rPr>
          <w:rFonts w:hint="eastAsia" w:eastAsia="方正仿宋_GBK"/>
          <w:sz w:val="32"/>
          <w:szCs w:val="32"/>
        </w:rPr>
        <w:t>“</w:t>
      </w:r>
      <w:r>
        <w:rPr>
          <w:rFonts w:eastAsia="方正仿宋_GBK"/>
          <w:sz w:val="32"/>
          <w:szCs w:val="32"/>
        </w:rPr>
        <w:t>0</w:t>
      </w:r>
      <w:r>
        <w:rPr>
          <w:rFonts w:hint="eastAsia" w:eastAsia="方正仿宋_GBK"/>
          <w:sz w:val="32"/>
          <w:szCs w:val="32"/>
        </w:rPr>
        <w:t>”、“</w:t>
      </w:r>
      <w:r>
        <w:rPr>
          <w:rFonts w:eastAsia="方正仿宋_GBK"/>
          <w:sz w:val="32"/>
          <w:szCs w:val="32"/>
        </w:rPr>
        <w:t>-2</w:t>
      </w:r>
      <w:r>
        <w:rPr>
          <w:rFonts w:hint="eastAsia" w:eastAsia="方正仿宋_GBK"/>
          <w:sz w:val="32"/>
          <w:szCs w:val="32"/>
        </w:rPr>
        <w:t>”；二是“达标”、“基本达标”、“不达标”，对应分值为“</w:t>
      </w:r>
      <w:r>
        <w:rPr>
          <w:rFonts w:eastAsia="方正仿宋_GBK"/>
          <w:sz w:val="32"/>
          <w:szCs w:val="32"/>
        </w:rPr>
        <w:t>0</w:t>
      </w:r>
      <w:r>
        <w:rPr>
          <w:rFonts w:hint="eastAsia" w:eastAsia="方正仿宋_GBK"/>
          <w:sz w:val="32"/>
          <w:szCs w:val="32"/>
        </w:rPr>
        <w:t>”、“</w:t>
      </w:r>
      <w:r>
        <w:rPr>
          <w:rFonts w:eastAsia="方正仿宋_GBK"/>
          <w:sz w:val="32"/>
          <w:szCs w:val="32"/>
        </w:rPr>
        <w:t>-1</w:t>
      </w:r>
      <w:r>
        <w:rPr>
          <w:rFonts w:hint="eastAsia" w:eastAsia="方正仿宋_GBK"/>
          <w:sz w:val="32"/>
          <w:szCs w:val="32"/>
        </w:rPr>
        <w:t>”、“</w:t>
      </w:r>
      <w:r>
        <w:rPr>
          <w:rFonts w:eastAsia="方正仿宋_GBK"/>
          <w:sz w:val="32"/>
          <w:szCs w:val="32"/>
        </w:rPr>
        <w:t>-2</w:t>
      </w:r>
      <w:r>
        <w:rPr>
          <w:rFonts w:hint="eastAsia" w:eastAsia="方正仿宋_GBK"/>
          <w:sz w:val="32"/>
          <w:szCs w:val="32"/>
        </w:rPr>
        <w:t>”。</w:t>
      </w:r>
    </w:p>
    <w:p>
      <w:pPr>
        <w:spacing w:line="560" w:lineRule="exact"/>
        <w:ind w:firstLine="640" w:firstLineChars="200"/>
        <w:rPr>
          <w:rFonts w:ascii="Times New Roman" w:eastAsia="方正仿宋_GBK"/>
          <w:sz w:val="32"/>
          <w:szCs w:val="32"/>
        </w:rPr>
      </w:pPr>
      <w:r>
        <w:rPr>
          <w:rFonts w:hint="eastAsia" w:eastAsia="方正仿宋_GBK"/>
          <w:b/>
          <w:bCs/>
          <w:sz w:val="32"/>
          <w:szCs w:val="32"/>
        </w:rPr>
        <w:t>达标：</w:t>
      </w:r>
      <w:r>
        <w:rPr>
          <w:rFonts w:hint="eastAsia" w:eastAsia="方正仿宋_GBK"/>
          <w:bCs/>
          <w:kern w:val="0"/>
          <w:sz w:val="32"/>
          <w:szCs w:val="32"/>
        </w:rPr>
        <w:t>企业实际情况符合该项标准。</w:t>
      </w:r>
      <w:r>
        <w:rPr>
          <w:rFonts w:hint="eastAsia" w:eastAsia="方正仿宋_GBK"/>
          <w:sz w:val="32"/>
          <w:szCs w:val="32"/>
        </w:rPr>
        <w:t>该项标准中有分项标准（用（</w:t>
      </w:r>
      <w:r>
        <w:rPr>
          <w:rFonts w:eastAsia="方正仿宋_GBK"/>
          <w:sz w:val="32"/>
          <w:szCs w:val="32"/>
        </w:rPr>
        <w:t>1</w:t>
      </w:r>
      <w:r>
        <w:rPr>
          <w:rFonts w:hint="eastAsia" w:eastAsia="方正仿宋_GBK"/>
          <w:sz w:val="32"/>
          <w:szCs w:val="32"/>
        </w:rPr>
        <w:t>）、（</w:t>
      </w:r>
      <w:r>
        <w:rPr>
          <w:rFonts w:eastAsia="方正仿宋_GBK"/>
          <w:sz w:val="32"/>
          <w:szCs w:val="32"/>
        </w:rPr>
        <w:t>2</w:t>
      </w:r>
      <w:r>
        <w:rPr>
          <w:rFonts w:hint="eastAsia" w:eastAsia="方正仿宋_GBK"/>
          <w:sz w:val="32"/>
          <w:szCs w:val="32"/>
        </w:rPr>
        <w:t>）、（</w:t>
      </w:r>
      <w:r>
        <w:rPr>
          <w:rFonts w:eastAsia="方正仿宋_GBK"/>
          <w:sz w:val="32"/>
          <w:szCs w:val="32"/>
        </w:rPr>
        <w:t>3</w:t>
      </w:r>
      <w:r>
        <w:rPr>
          <w:rFonts w:hint="eastAsia" w:eastAsia="方正仿宋_GBK"/>
          <w:sz w:val="32"/>
          <w:szCs w:val="32"/>
        </w:rPr>
        <w:t>）等表示）的，也应当符合每个分项标准。</w:t>
      </w:r>
    </w:p>
    <w:p>
      <w:pPr>
        <w:spacing w:line="560" w:lineRule="exact"/>
        <w:ind w:firstLine="640" w:firstLineChars="200"/>
        <w:rPr>
          <w:rFonts w:eastAsia="方正仿宋_GBK"/>
          <w:sz w:val="32"/>
          <w:szCs w:val="32"/>
        </w:rPr>
      </w:pPr>
      <w:r>
        <w:rPr>
          <w:rFonts w:hint="eastAsia" w:eastAsia="方正仿宋_GBK"/>
          <w:b/>
          <w:bCs/>
          <w:sz w:val="32"/>
          <w:szCs w:val="32"/>
        </w:rPr>
        <w:t>基本达标</w:t>
      </w:r>
      <w:r>
        <w:rPr>
          <w:rFonts w:hint="eastAsia" w:eastAsia="方正仿宋_GBK"/>
          <w:sz w:val="32"/>
          <w:szCs w:val="32"/>
        </w:rPr>
        <w:t>：企业实际情况基本符合该项标准。该项标准中有分项标准（用（</w:t>
      </w:r>
      <w:r>
        <w:rPr>
          <w:rFonts w:eastAsia="方正仿宋_GBK"/>
          <w:sz w:val="32"/>
          <w:szCs w:val="32"/>
        </w:rPr>
        <w:t>1</w:t>
      </w:r>
      <w:r>
        <w:rPr>
          <w:rFonts w:hint="eastAsia" w:eastAsia="方正仿宋_GBK"/>
          <w:sz w:val="32"/>
          <w:szCs w:val="32"/>
        </w:rPr>
        <w:t>）、（</w:t>
      </w:r>
      <w:r>
        <w:rPr>
          <w:rFonts w:eastAsia="方正仿宋_GBK"/>
          <w:sz w:val="32"/>
          <w:szCs w:val="32"/>
        </w:rPr>
        <w:t>2</w:t>
      </w:r>
      <w:r>
        <w:rPr>
          <w:rFonts w:hint="eastAsia" w:eastAsia="方正仿宋_GBK"/>
          <w:sz w:val="32"/>
          <w:szCs w:val="32"/>
        </w:rPr>
        <w:t>）、（</w:t>
      </w:r>
      <w:r>
        <w:rPr>
          <w:rFonts w:eastAsia="方正仿宋_GBK"/>
          <w:sz w:val="32"/>
          <w:szCs w:val="32"/>
        </w:rPr>
        <w:t>3</w:t>
      </w:r>
      <w:r>
        <w:rPr>
          <w:rFonts w:hint="eastAsia" w:eastAsia="方正仿宋_GBK"/>
          <w:sz w:val="32"/>
          <w:szCs w:val="32"/>
        </w:rPr>
        <w:t>）等表示）的，也应当符合或者基本符合每个分项标准。</w:t>
      </w:r>
    </w:p>
    <w:p>
      <w:pPr>
        <w:spacing w:line="560" w:lineRule="exact"/>
        <w:ind w:firstLine="640" w:firstLineChars="200"/>
        <w:rPr>
          <w:rFonts w:eastAsia="方正仿宋_GBK"/>
          <w:sz w:val="32"/>
          <w:szCs w:val="32"/>
        </w:rPr>
      </w:pPr>
      <w:r>
        <w:rPr>
          <w:rFonts w:hint="eastAsia" w:eastAsia="方正仿宋_GBK"/>
          <w:b/>
          <w:bCs/>
          <w:sz w:val="32"/>
          <w:szCs w:val="32"/>
        </w:rPr>
        <w:t>不达标：</w:t>
      </w:r>
      <w:r>
        <w:rPr>
          <w:rFonts w:hint="eastAsia" w:eastAsia="方正仿宋_GBK"/>
          <w:sz w:val="32"/>
          <w:szCs w:val="32"/>
        </w:rPr>
        <w:t>企业实际情况不符合该项标准。该项标准的分项标准（用（</w:t>
      </w:r>
      <w:r>
        <w:rPr>
          <w:rFonts w:eastAsia="方正仿宋_GBK"/>
          <w:sz w:val="32"/>
          <w:szCs w:val="32"/>
        </w:rPr>
        <w:t>1</w:t>
      </w:r>
      <w:r>
        <w:rPr>
          <w:rFonts w:hint="eastAsia" w:eastAsia="方正仿宋_GBK"/>
          <w:sz w:val="32"/>
          <w:szCs w:val="32"/>
        </w:rPr>
        <w:t>）、（</w:t>
      </w:r>
      <w:r>
        <w:rPr>
          <w:rFonts w:eastAsia="方正仿宋_GBK"/>
          <w:sz w:val="32"/>
          <w:szCs w:val="32"/>
        </w:rPr>
        <w:t>2</w:t>
      </w:r>
      <w:r>
        <w:rPr>
          <w:rFonts w:hint="eastAsia" w:eastAsia="方正仿宋_GBK"/>
          <w:sz w:val="32"/>
          <w:szCs w:val="32"/>
        </w:rPr>
        <w:t>）、（</w:t>
      </w:r>
      <w:r>
        <w:rPr>
          <w:rFonts w:eastAsia="方正仿宋_GBK"/>
          <w:sz w:val="32"/>
          <w:szCs w:val="32"/>
        </w:rPr>
        <w:t>3</w:t>
      </w:r>
      <w:r>
        <w:rPr>
          <w:rFonts w:hint="eastAsia" w:eastAsia="方正仿宋_GBK"/>
          <w:sz w:val="32"/>
          <w:szCs w:val="32"/>
        </w:rPr>
        <w:t>）等表示）中如有不达标情形的，该项标准即为不达标。</w:t>
      </w:r>
    </w:p>
    <w:p>
      <w:pPr>
        <w:spacing w:line="560" w:lineRule="exact"/>
        <w:ind w:firstLine="640" w:firstLineChars="200"/>
        <w:rPr>
          <w:rFonts w:eastAsia="方正仿宋_GBK"/>
          <w:sz w:val="32"/>
          <w:szCs w:val="32"/>
        </w:rPr>
      </w:pPr>
      <w:r>
        <w:rPr>
          <w:rFonts w:hint="eastAsia" w:eastAsia="方正仿宋_GBK"/>
          <w:b/>
          <w:bCs/>
          <w:sz w:val="32"/>
          <w:szCs w:val="32"/>
        </w:rPr>
        <w:t>不适用：</w:t>
      </w:r>
      <w:r>
        <w:rPr>
          <w:rFonts w:hint="eastAsia" w:eastAsia="方正仿宋_GBK"/>
          <w:sz w:val="32"/>
          <w:szCs w:val="32"/>
        </w:rPr>
        <w:t>相关标准不适用于该</w:t>
      </w:r>
      <w:r>
        <w:rPr>
          <w:rFonts w:hint="eastAsia" w:ascii="方正仿宋_GBK" w:eastAsia="方正仿宋_GBK"/>
          <w:sz w:val="32"/>
          <w:szCs w:val="32"/>
        </w:rPr>
        <w:t>类型和经营范围</w:t>
      </w:r>
      <w:r>
        <w:rPr>
          <w:rFonts w:hint="eastAsia" w:eastAsia="方正仿宋_GBK"/>
          <w:sz w:val="32"/>
          <w:szCs w:val="32"/>
        </w:rPr>
        <w:t>企业的，海关不再对该项标准进行认证。</w:t>
      </w:r>
    </w:p>
    <w:p>
      <w:pPr>
        <w:spacing w:line="560" w:lineRule="exact"/>
        <w:ind w:firstLine="640" w:firstLineChars="200"/>
        <w:rPr>
          <w:rFonts w:ascii="Times New Roman" w:eastAsia="方正仿宋_GBK"/>
          <w:sz w:val="32"/>
          <w:szCs w:val="32"/>
        </w:rPr>
      </w:pPr>
    </w:p>
    <w:p>
      <w:pPr>
        <w:spacing w:line="560" w:lineRule="exact"/>
        <w:ind w:firstLine="640" w:firstLineChars="200"/>
        <w:rPr>
          <w:rFonts w:eastAsia="方正仿宋_GBK"/>
          <w:sz w:val="32"/>
          <w:szCs w:val="32"/>
        </w:rPr>
      </w:pPr>
      <w:r>
        <w:rPr>
          <w:rFonts w:hint="eastAsia" w:eastAsia="方正黑体_GBK"/>
          <w:sz w:val="32"/>
          <w:szCs w:val="32"/>
        </w:rPr>
        <w:t>二、关于认证标准的通过条件</w:t>
      </w:r>
    </w:p>
    <w:p>
      <w:pPr>
        <w:spacing w:line="560" w:lineRule="exact"/>
        <w:ind w:firstLine="640" w:firstLineChars="200"/>
        <w:rPr>
          <w:rFonts w:eastAsia="方正仿宋_GBK"/>
          <w:sz w:val="32"/>
          <w:szCs w:val="32"/>
        </w:rPr>
      </w:pPr>
      <w:r>
        <w:rPr>
          <w:rFonts w:eastAsia="方正仿宋_GBK"/>
          <w:sz w:val="32"/>
          <w:szCs w:val="32"/>
        </w:rPr>
        <w:t>企业同时符合下列</w:t>
      </w:r>
      <w:r>
        <w:rPr>
          <w:rFonts w:hint="eastAsia" w:eastAsia="方正仿宋_GBK"/>
          <w:sz w:val="32"/>
          <w:szCs w:val="32"/>
        </w:rPr>
        <w:t>三</w:t>
      </w:r>
      <w:r>
        <w:rPr>
          <w:rFonts w:eastAsia="方正仿宋_GBK"/>
          <w:sz w:val="32"/>
          <w:szCs w:val="32"/>
        </w:rPr>
        <w:t>个条件并经海关认定的，通过认证：</w:t>
      </w:r>
    </w:p>
    <w:p>
      <w:pPr>
        <w:autoSpaceDN w:val="0"/>
        <w:spacing w:line="560" w:lineRule="exact"/>
        <w:ind w:firstLine="640" w:firstLineChars="200"/>
        <w:rPr>
          <w:rFonts w:eastAsia="方正仿宋_GBK"/>
          <w:sz w:val="32"/>
          <w:szCs w:val="32"/>
        </w:rPr>
      </w:pPr>
      <w:r>
        <w:rPr>
          <w:rFonts w:eastAsia="方正仿宋_GBK"/>
          <w:sz w:val="32"/>
          <w:szCs w:val="32"/>
        </w:rPr>
        <w:t>（一）所有</w:t>
      </w:r>
      <w:r>
        <w:rPr>
          <w:rFonts w:hint="eastAsia" w:eastAsia="方正仿宋_GBK"/>
          <w:sz w:val="32"/>
          <w:szCs w:val="32"/>
        </w:rPr>
        <w:t>认证结果选项</w:t>
      </w:r>
      <w:r>
        <w:rPr>
          <w:rFonts w:eastAsia="方正仿宋_GBK"/>
          <w:sz w:val="32"/>
          <w:szCs w:val="32"/>
        </w:rPr>
        <w:t>均没有不达标情形；</w:t>
      </w:r>
    </w:p>
    <w:p>
      <w:pPr>
        <w:spacing w:line="560" w:lineRule="exact"/>
        <w:ind w:firstLine="640" w:firstLineChars="200"/>
        <w:rPr>
          <w:rFonts w:ascii="Times New Roman" w:hAnsi="Times New Roman" w:eastAsia="方正仿宋_GBK"/>
          <w:sz w:val="32"/>
          <w:szCs w:val="32"/>
        </w:rPr>
      </w:pPr>
      <w:r>
        <w:rPr>
          <w:rFonts w:eastAsia="方正仿宋_GBK"/>
          <w:sz w:val="32"/>
          <w:szCs w:val="32"/>
        </w:rPr>
        <w:t>（二）</w:t>
      </w:r>
      <w:r>
        <w:rPr>
          <w:rFonts w:hint="eastAsia" w:eastAsia="方正仿宋_GBK"/>
          <w:sz w:val="32"/>
          <w:szCs w:val="32"/>
        </w:rPr>
        <w:t>通用标准</w:t>
      </w:r>
      <w:r>
        <w:rPr>
          <w:rFonts w:eastAsia="方正仿宋_GBK"/>
          <w:sz w:val="32"/>
          <w:szCs w:val="32"/>
        </w:rPr>
        <w:t>基本</w:t>
      </w:r>
      <w:r>
        <w:rPr>
          <w:rFonts w:hint="eastAsia" w:eastAsia="方正仿宋_GBK"/>
          <w:sz w:val="32"/>
          <w:szCs w:val="32"/>
        </w:rPr>
        <w:t>达标不</w:t>
      </w:r>
      <w:r>
        <w:rPr>
          <w:rFonts w:ascii="Times New Roman" w:hAnsi="Times New Roman" w:eastAsia="方正仿宋_GBK"/>
          <w:sz w:val="32"/>
          <w:szCs w:val="32"/>
        </w:rPr>
        <w:t>超过3项；</w:t>
      </w:r>
    </w:p>
    <w:p>
      <w:pPr>
        <w:spacing w:line="560" w:lineRule="exact"/>
        <w:ind w:firstLine="640" w:firstLineChars="200"/>
        <w:rPr>
          <w:rFonts w:hint="eastAsia" w:eastAsia="方正仿宋_GBK"/>
          <w:sz w:val="32"/>
          <w:szCs w:val="32"/>
        </w:rPr>
      </w:pPr>
      <w:r>
        <w:rPr>
          <w:rFonts w:ascii="Times New Roman" w:hAnsi="Times New Roman" w:eastAsia="方正仿宋_GBK"/>
          <w:sz w:val="32"/>
          <w:szCs w:val="32"/>
        </w:rPr>
        <w:t>（三）单项标准基本达标不超过3项</w:t>
      </w:r>
      <w:r>
        <w:rPr>
          <w:rFonts w:eastAsia="方正仿宋_GBK"/>
          <w:sz w:val="32"/>
          <w:szCs w:val="32"/>
        </w:rPr>
        <w:t>。</w:t>
      </w:r>
    </w:p>
    <w:p>
      <w:pPr>
        <w:rPr>
          <w:rFonts w:ascii="宋体" w:hAnsi="宋体"/>
          <w:sz w:val="28"/>
          <w:szCs w:val="28"/>
        </w:rPr>
      </w:pPr>
    </w:p>
    <w:tbl>
      <w:tblPr>
        <w:tblStyle w:val="6"/>
        <w:tblW w:w="158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6"/>
        <w:gridCol w:w="1096"/>
        <w:gridCol w:w="2836"/>
        <w:gridCol w:w="3705"/>
        <w:gridCol w:w="3909"/>
        <w:gridCol w:w="2417"/>
        <w:gridCol w:w="9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5842" w:type="dxa"/>
            <w:gridSpan w:val="7"/>
            <w:vAlign w:val="center"/>
          </w:tcPr>
          <w:p>
            <w:pPr>
              <w:widowControl/>
              <w:jc w:val="center"/>
              <w:rPr>
                <w:b/>
                <w:bCs/>
                <w:kern w:val="0"/>
                <w:sz w:val="24"/>
                <w:szCs w:val="24"/>
              </w:rPr>
            </w:pPr>
            <w:r>
              <w:rPr>
                <w:rFonts w:hint="eastAsia"/>
                <w:b/>
                <w:bCs/>
                <w:kern w:val="0"/>
                <w:sz w:val="24"/>
                <w:szCs w:val="24"/>
              </w:rPr>
              <w:t>认证评估及改进建议表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4908" w:type="dxa"/>
            <w:gridSpan w:val="3"/>
            <w:vAlign w:val="center"/>
          </w:tcPr>
          <w:p>
            <w:pPr>
              <w:widowControl/>
              <w:jc w:val="center"/>
              <w:rPr>
                <w:b/>
                <w:bCs/>
                <w:color w:val="000000"/>
                <w:kern w:val="0"/>
                <w:sz w:val="24"/>
                <w:szCs w:val="24"/>
              </w:rPr>
            </w:pPr>
            <w:r>
              <w:rPr>
                <w:b/>
                <w:bCs/>
                <w:color w:val="000000"/>
                <w:kern w:val="0"/>
                <w:sz w:val="24"/>
                <w:szCs w:val="24"/>
              </w:rPr>
              <w:t>认证标准</w:t>
            </w:r>
          </w:p>
        </w:tc>
        <w:tc>
          <w:tcPr>
            <w:tcW w:w="3705" w:type="dxa"/>
            <w:vAlign w:val="center"/>
          </w:tcPr>
          <w:p>
            <w:pPr>
              <w:widowControl/>
              <w:jc w:val="center"/>
              <w:rPr>
                <w:b/>
                <w:bCs/>
                <w:kern w:val="0"/>
                <w:sz w:val="24"/>
                <w:szCs w:val="24"/>
              </w:rPr>
            </w:pPr>
            <w:r>
              <w:rPr>
                <w:rFonts w:hint="eastAsia"/>
                <w:b/>
                <w:bCs/>
                <w:kern w:val="0"/>
                <w:sz w:val="24"/>
                <w:szCs w:val="24"/>
              </w:rPr>
              <w:t>是否有制度（制度名称）</w:t>
            </w:r>
          </w:p>
        </w:tc>
        <w:tc>
          <w:tcPr>
            <w:tcW w:w="3909" w:type="dxa"/>
            <w:vAlign w:val="center"/>
          </w:tcPr>
          <w:p>
            <w:pPr>
              <w:widowControl/>
              <w:jc w:val="center"/>
              <w:rPr>
                <w:b/>
                <w:bCs/>
                <w:kern w:val="0"/>
                <w:sz w:val="24"/>
                <w:szCs w:val="24"/>
              </w:rPr>
            </w:pPr>
            <w:r>
              <w:rPr>
                <w:rFonts w:hint="eastAsia"/>
                <w:b/>
                <w:bCs/>
                <w:kern w:val="0"/>
                <w:sz w:val="24"/>
                <w:szCs w:val="24"/>
              </w:rPr>
              <w:t>是否有执行记录</w:t>
            </w:r>
          </w:p>
        </w:tc>
        <w:tc>
          <w:tcPr>
            <w:tcW w:w="3320" w:type="dxa"/>
            <w:gridSpan w:val="2"/>
            <w:vAlign w:val="center"/>
          </w:tcPr>
          <w:p>
            <w:pPr>
              <w:widowControl/>
              <w:jc w:val="center"/>
              <w:rPr>
                <w:b/>
                <w:bCs/>
                <w:kern w:val="0"/>
                <w:sz w:val="24"/>
                <w:szCs w:val="24"/>
              </w:rPr>
            </w:pPr>
            <w:r>
              <w:rPr>
                <w:rFonts w:hint="eastAsia"/>
                <w:b/>
                <w:bCs/>
                <w:kern w:val="0"/>
                <w:sz w:val="24"/>
                <w:szCs w:val="24"/>
              </w:rPr>
              <w:t>评分</w:t>
            </w:r>
            <w:r>
              <w:rPr>
                <w:b/>
                <w:bCs/>
                <w:kern w:val="0"/>
                <w:sz w:val="24"/>
                <w:szCs w:val="24"/>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15842" w:type="dxa"/>
            <w:gridSpan w:val="7"/>
            <w:vAlign w:val="center"/>
          </w:tcPr>
          <w:p>
            <w:pPr>
              <w:widowControl/>
              <w:spacing w:line="600" w:lineRule="auto"/>
              <w:jc w:val="left"/>
              <w:rPr>
                <w:b/>
                <w:kern w:val="0"/>
                <w:szCs w:val="21"/>
              </w:rPr>
            </w:pPr>
            <w:r>
              <w:rPr>
                <w:rFonts w:hint="eastAsia"/>
                <w:b/>
                <w:color w:val="000000"/>
                <w:kern w:val="0"/>
                <w:sz w:val="24"/>
                <w:szCs w:val="24"/>
              </w:rPr>
              <w:t>一、内部控制标准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976" w:type="dxa"/>
            <w:vMerge w:val="restart"/>
            <w:vAlign w:val="center"/>
          </w:tcPr>
          <w:p>
            <w:pPr>
              <w:widowControl/>
              <w:jc w:val="center"/>
              <w:rPr>
                <w:color w:val="000000"/>
                <w:kern w:val="0"/>
                <w:sz w:val="24"/>
                <w:szCs w:val="24"/>
              </w:rPr>
            </w:pPr>
          </w:p>
        </w:tc>
        <w:tc>
          <w:tcPr>
            <w:tcW w:w="1096" w:type="dxa"/>
            <w:vMerge w:val="restart"/>
            <w:vAlign w:val="center"/>
          </w:tcPr>
          <w:p>
            <w:pPr>
              <w:widowControl/>
              <w:jc w:val="center"/>
              <w:rPr>
                <w:i/>
                <w:iCs/>
                <w:color w:val="000000"/>
                <w:kern w:val="0"/>
                <w:sz w:val="24"/>
                <w:szCs w:val="24"/>
              </w:rPr>
            </w:pPr>
            <w:r>
              <w:rPr>
                <w:rFonts w:hint="eastAsia" w:ascii="宋体" w:cs="宋体"/>
                <w:bCs/>
                <w:color w:val="000000"/>
                <w:kern w:val="0"/>
                <w:sz w:val="24"/>
              </w:rPr>
              <w:t>1.关企沟通联系合作</w:t>
            </w:r>
          </w:p>
        </w:tc>
        <w:tc>
          <w:tcPr>
            <w:tcW w:w="2836" w:type="dxa"/>
            <w:tcBorders>
              <w:bottom w:val="single" w:color="auto" w:sz="4" w:space="0"/>
            </w:tcBorders>
            <w:vAlign w:val="center"/>
          </w:tcPr>
          <w:p>
            <w:pPr>
              <w:widowControl/>
              <w:rPr>
                <w:rFonts w:ascii="宋体"/>
                <w:color w:val="000000"/>
                <w:kern w:val="0"/>
              </w:rPr>
            </w:pPr>
            <w:r>
              <w:rPr>
                <w:rFonts w:hint="eastAsia" w:ascii="宋体" w:cs="宋体"/>
                <w:color w:val="000000"/>
                <w:kern w:val="0"/>
                <w:szCs w:val="21"/>
              </w:rPr>
              <w:t>（1）建立并执行与海关沟通联系和合作的机制，指定高级管理人员负责关务。在发现异常、可疑的货物单据或者非法、可疑和不明货物涉及海关业务时，及时通知海关。</w:t>
            </w:r>
          </w:p>
        </w:tc>
        <w:tc>
          <w:tcPr>
            <w:tcW w:w="3705" w:type="dxa"/>
            <w:vAlign w:val="center"/>
          </w:tcPr>
          <w:p>
            <w:pPr>
              <w:rPr>
                <w:rFonts w:ascii="宋体" w:hAnsi="宋体"/>
                <w:color w:val="FF0000"/>
                <w:kern w:val="0"/>
                <w:szCs w:val="20"/>
              </w:rPr>
            </w:pPr>
          </w:p>
          <w:p>
            <w:pPr>
              <w:rPr>
                <w:kern w:val="0"/>
                <w:sz w:val="24"/>
                <w:szCs w:val="24"/>
              </w:rPr>
            </w:pPr>
          </w:p>
        </w:tc>
        <w:tc>
          <w:tcPr>
            <w:tcW w:w="3909" w:type="dxa"/>
            <w:vAlign w:val="center"/>
          </w:tcPr>
          <w:p>
            <w:pPr>
              <w:widowControl/>
              <w:jc w:val="left"/>
              <w:rPr>
                <w:kern w:val="0"/>
                <w:sz w:val="24"/>
                <w:szCs w:val="24"/>
              </w:rPr>
            </w:pPr>
          </w:p>
        </w:tc>
        <w:tc>
          <w:tcPr>
            <w:tcW w:w="3320" w:type="dxa"/>
            <w:gridSpan w:val="2"/>
            <w:vMerge w:val="restart"/>
            <w:vAlign w:val="center"/>
          </w:tcPr>
          <w:p>
            <w:pPr>
              <w:widowControl/>
              <w:jc w:val="center"/>
              <w:rPr>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976" w:type="dxa"/>
            <w:vMerge w:val="continue"/>
            <w:vAlign w:val="center"/>
          </w:tcPr>
          <w:p>
            <w:pPr>
              <w:rPr>
                <w:color w:val="000000"/>
              </w:rPr>
            </w:pPr>
          </w:p>
        </w:tc>
        <w:tc>
          <w:tcPr>
            <w:tcW w:w="1096" w:type="dxa"/>
            <w:vMerge w:val="continue"/>
            <w:vAlign w:val="center"/>
          </w:tcPr>
          <w:p>
            <w:pPr>
              <w:rPr>
                <w:color w:val="000000"/>
              </w:rPr>
            </w:pPr>
          </w:p>
        </w:tc>
        <w:tc>
          <w:tcPr>
            <w:tcW w:w="2836" w:type="dxa"/>
            <w:tcBorders>
              <w:top w:val="single" w:color="auto" w:sz="4" w:space="0"/>
            </w:tcBorders>
            <w:vAlign w:val="center"/>
          </w:tcPr>
          <w:p>
            <w:pPr>
              <w:widowControl/>
              <w:rPr>
                <w:rFonts w:ascii="宋体"/>
                <w:color w:val="000000"/>
                <w:kern w:val="0"/>
              </w:rPr>
            </w:pPr>
            <w:r>
              <w:rPr>
                <w:rFonts w:hint="eastAsia" w:ascii="宋体" w:cs="宋体"/>
                <w:color w:val="000000"/>
                <w:kern w:val="0"/>
                <w:szCs w:val="21"/>
              </w:rPr>
              <w:t>（2）企业的进出口业务、财务、贸易安全、内部审计等岗位职责分工明确。</w:t>
            </w:r>
          </w:p>
        </w:tc>
        <w:tc>
          <w:tcPr>
            <w:tcW w:w="3705" w:type="dxa"/>
            <w:vAlign w:val="center"/>
          </w:tcPr>
          <w:p>
            <w:pPr>
              <w:rPr>
                <w:rFonts w:ascii="宋体" w:hAnsi="宋体"/>
                <w:color w:val="FF0000"/>
                <w:szCs w:val="21"/>
              </w:rPr>
            </w:pPr>
          </w:p>
        </w:tc>
        <w:tc>
          <w:tcPr>
            <w:tcW w:w="3909" w:type="dxa"/>
            <w:vAlign w:val="center"/>
          </w:tcPr>
          <w:p>
            <w:pPr>
              <w:jc w:val="left"/>
            </w:pPr>
          </w:p>
        </w:tc>
        <w:tc>
          <w:tcPr>
            <w:tcW w:w="3320" w:type="dxa"/>
            <w:gridSpan w:val="2"/>
            <w:vMerge w:val="continue"/>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976" w:type="dxa"/>
            <w:vMerge w:val="restart"/>
            <w:vAlign w:val="center"/>
          </w:tcPr>
          <w:p>
            <w:pPr>
              <w:widowControl/>
              <w:jc w:val="center"/>
              <w:rPr>
                <w:rFonts w:hint="eastAsia"/>
                <w:color w:val="000000"/>
                <w:kern w:val="0"/>
                <w:sz w:val="24"/>
                <w:szCs w:val="24"/>
              </w:rPr>
            </w:pPr>
          </w:p>
          <w:p>
            <w:pPr>
              <w:widowControl/>
              <w:jc w:val="center"/>
              <w:rPr>
                <w:rFonts w:hint="eastAsia"/>
                <w:color w:val="000000"/>
                <w:kern w:val="0"/>
                <w:sz w:val="24"/>
                <w:szCs w:val="24"/>
              </w:rPr>
            </w:pPr>
          </w:p>
        </w:tc>
        <w:tc>
          <w:tcPr>
            <w:tcW w:w="1096" w:type="dxa"/>
            <w:vMerge w:val="restart"/>
            <w:vAlign w:val="center"/>
          </w:tcPr>
          <w:p>
            <w:pPr>
              <w:widowControl/>
              <w:jc w:val="center"/>
              <w:rPr>
                <w:color w:val="000000"/>
                <w:kern w:val="0"/>
                <w:sz w:val="24"/>
                <w:szCs w:val="24"/>
              </w:rPr>
            </w:pPr>
            <w:r>
              <w:rPr>
                <w:rFonts w:hint="eastAsia" w:ascii="宋体" w:cs="宋体"/>
                <w:bCs/>
                <w:color w:val="000000"/>
                <w:kern w:val="0"/>
                <w:sz w:val="24"/>
              </w:rPr>
              <w:t>2.进出口单证</w:t>
            </w:r>
          </w:p>
        </w:tc>
        <w:tc>
          <w:tcPr>
            <w:tcW w:w="2836" w:type="dxa"/>
            <w:vAlign w:val="center"/>
          </w:tcPr>
          <w:p>
            <w:pPr>
              <w:widowControl/>
              <w:rPr>
                <w:rFonts w:ascii="宋体"/>
                <w:color w:val="000000"/>
                <w:kern w:val="0"/>
              </w:rPr>
            </w:pPr>
            <w:r>
              <w:rPr>
                <w:rFonts w:hint="eastAsia" w:ascii="宋体" w:cs="宋体"/>
                <w:color w:val="000000"/>
                <w:kern w:val="0"/>
                <w:szCs w:val="21"/>
              </w:rPr>
              <w:t>（3）建立并执行进出口单证复核或者纠错制度，在申报前或者委托申报前有专门部门或者岗位人员对进出口单证的真实性、准确性、规范性和完整性进行内部复核。</w:t>
            </w:r>
          </w:p>
        </w:tc>
        <w:tc>
          <w:tcPr>
            <w:tcW w:w="3705" w:type="dxa"/>
            <w:vAlign w:val="center"/>
          </w:tcPr>
          <w:p>
            <w:pPr>
              <w:pStyle w:val="19"/>
              <w:ind w:left="360" w:firstLine="0" w:firstLineChars="0"/>
              <w:rPr>
                <w:rFonts w:ascii="宋体" w:hAnsi="宋体"/>
                <w:color w:val="FF0000"/>
                <w:szCs w:val="21"/>
              </w:rPr>
            </w:pPr>
          </w:p>
        </w:tc>
        <w:tc>
          <w:tcPr>
            <w:tcW w:w="3909" w:type="dxa"/>
            <w:vMerge w:val="restart"/>
            <w:vAlign w:val="center"/>
          </w:tcPr>
          <w:p>
            <w:pPr>
              <w:pStyle w:val="19"/>
              <w:widowControl/>
              <w:tabs>
                <w:tab w:val="left" w:pos="312"/>
              </w:tabs>
              <w:ind w:left="360" w:firstLine="0" w:firstLineChars="0"/>
              <w:jc w:val="left"/>
              <w:rPr>
                <w:kern w:val="0"/>
                <w:sz w:val="24"/>
                <w:szCs w:val="24"/>
              </w:rPr>
            </w:pPr>
          </w:p>
        </w:tc>
        <w:tc>
          <w:tcPr>
            <w:tcW w:w="3320" w:type="dxa"/>
            <w:gridSpan w:val="2"/>
            <w:vMerge w:val="restart"/>
            <w:vAlign w:val="center"/>
          </w:tcPr>
          <w:p>
            <w:pPr>
              <w:widowControl/>
              <w:jc w:val="center"/>
              <w:rPr>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4" w:hRule="atLeast"/>
        </w:trPr>
        <w:tc>
          <w:tcPr>
            <w:tcW w:w="976" w:type="dxa"/>
            <w:vMerge w:val="continue"/>
            <w:vAlign w:val="center"/>
          </w:tcPr>
          <w:p>
            <w:pPr>
              <w:widowControl/>
              <w:jc w:val="center"/>
              <w:rPr>
                <w:color w:val="000000"/>
                <w:kern w:val="0"/>
                <w:sz w:val="24"/>
                <w:szCs w:val="24"/>
              </w:rPr>
            </w:pPr>
          </w:p>
        </w:tc>
        <w:tc>
          <w:tcPr>
            <w:tcW w:w="1096" w:type="dxa"/>
            <w:vMerge w:val="continue"/>
            <w:vAlign w:val="center"/>
          </w:tcPr>
          <w:p>
            <w:pPr>
              <w:widowControl/>
              <w:jc w:val="center"/>
              <w:rPr>
                <w:i/>
                <w:iCs/>
                <w:color w:val="000000"/>
                <w:kern w:val="0"/>
                <w:sz w:val="24"/>
                <w:szCs w:val="24"/>
              </w:rPr>
            </w:pPr>
          </w:p>
        </w:tc>
        <w:tc>
          <w:tcPr>
            <w:tcW w:w="2836" w:type="dxa"/>
            <w:vAlign w:val="center"/>
          </w:tcPr>
          <w:p>
            <w:pPr>
              <w:widowControl/>
              <w:rPr>
                <w:rFonts w:ascii="宋体" w:cs="宋体"/>
                <w:i/>
                <w:iCs/>
                <w:color w:val="000000"/>
                <w:kern w:val="0"/>
              </w:rPr>
            </w:pPr>
            <w:r>
              <w:rPr>
                <w:rFonts w:hint="eastAsia" w:ascii="宋体" w:cs="宋体"/>
                <w:color w:val="000000"/>
                <w:kern w:val="0"/>
                <w:szCs w:val="21"/>
              </w:rPr>
              <w:t>（4）建立并执行进出口单证保管制度，妥善保存海关要求保管的进出口单证以及与进出口直接相关的其他资料和海关核发的证书、法律文书等。</w:t>
            </w:r>
          </w:p>
        </w:tc>
        <w:tc>
          <w:tcPr>
            <w:tcW w:w="3705" w:type="dxa"/>
            <w:vAlign w:val="center"/>
          </w:tcPr>
          <w:p>
            <w:pPr>
              <w:widowControl/>
              <w:jc w:val="left"/>
              <w:rPr>
                <w:i/>
                <w:iCs/>
                <w:kern w:val="0"/>
                <w:sz w:val="24"/>
                <w:szCs w:val="24"/>
              </w:rPr>
            </w:pPr>
          </w:p>
          <w:p>
            <w:pPr>
              <w:widowControl/>
              <w:jc w:val="center"/>
              <w:rPr>
                <w:i/>
                <w:iCs/>
                <w:kern w:val="0"/>
                <w:sz w:val="24"/>
                <w:szCs w:val="24"/>
              </w:rPr>
            </w:pPr>
          </w:p>
        </w:tc>
        <w:tc>
          <w:tcPr>
            <w:tcW w:w="3909" w:type="dxa"/>
            <w:vMerge w:val="continue"/>
            <w:vAlign w:val="center"/>
          </w:tcPr>
          <w:p>
            <w:pPr>
              <w:widowControl/>
              <w:jc w:val="left"/>
              <w:rPr>
                <w:kern w:val="0"/>
                <w:sz w:val="24"/>
                <w:szCs w:val="24"/>
              </w:rPr>
            </w:pPr>
          </w:p>
        </w:tc>
        <w:tc>
          <w:tcPr>
            <w:tcW w:w="3320" w:type="dxa"/>
            <w:gridSpan w:val="2"/>
            <w:vMerge w:val="continue"/>
            <w:vAlign w:val="center"/>
          </w:tcPr>
          <w:p>
            <w:pPr>
              <w:widowControl/>
              <w:jc w:val="center"/>
              <w:rPr>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4" w:hRule="atLeast"/>
        </w:trPr>
        <w:tc>
          <w:tcPr>
            <w:tcW w:w="976" w:type="dxa"/>
            <w:vMerge w:val="continue"/>
            <w:vAlign w:val="center"/>
          </w:tcPr>
          <w:p>
            <w:pPr>
              <w:widowControl/>
              <w:jc w:val="center"/>
              <w:rPr>
                <w:color w:val="000000"/>
                <w:kern w:val="0"/>
                <w:sz w:val="24"/>
                <w:szCs w:val="24"/>
              </w:rPr>
            </w:pPr>
          </w:p>
        </w:tc>
        <w:tc>
          <w:tcPr>
            <w:tcW w:w="1096" w:type="dxa"/>
            <w:vMerge w:val="continue"/>
            <w:vAlign w:val="center"/>
          </w:tcPr>
          <w:p>
            <w:pPr>
              <w:widowControl/>
              <w:jc w:val="center"/>
              <w:rPr>
                <w:i/>
                <w:iCs/>
                <w:color w:val="000000"/>
                <w:kern w:val="0"/>
                <w:sz w:val="24"/>
                <w:szCs w:val="24"/>
              </w:rPr>
            </w:pPr>
          </w:p>
        </w:tc>
        <w:tc>
          <w:tcPr>
            <w:tcW w:w="2836" w:type="dxa"/>
            <w:vAlign w:val="center"/>
          </w:tcPr>
          <w:p>
            <w:pPr>
              <w:widowControl/>
              <w:rPr>
                <w:rFonts w:ascii="宋体" w:cs="宋体"/>
                <w:i/>
                <w:iCs/>
                <w:color w:val="000000"/>
                <w:kern w:val="0"/>
              </w:rPr>
            </w:pPr>
            <w:r>
              <w:rPr>
                <w:rFonts w:hint="eastAsia" w:ascii="宋体" w:cs="宋体"/>
                <w:color w:val="000000"/>
                <w:kern w:val="0"/>
                <w:szCs w:val="21"/>
              </w:rPr>
              <w:t>（5）建立并执行禁止类产品合规审查制度。</w:t>
            </w:r>
          </w:p>
        </w:tc>
        <w:tc>
          <w:tcPr>
            <w:tcW w:w="3705" w:type="dxa"/>
            <w:vAlign w:val="center"/>
          </w:tcPr>
          <w:p>
            <w:pPr>
              <w:widowControl/>
              <w:jc w:val="left"/>
              <w:rPr>
                <w:i/>
                <w:iCs/>
                <w:kern w:val="0"/>
                <w:sz w:val="24"/>
                <w:szCs w:val="24"/>
              </w:rPr>
            </w:pPr>
          </w:p>
        </w:tc>
        <w:tc>
          <w:tcPr>
            <w:tcW w:w="3909" w:type="dxa"/>
            <w:vAlign w:val="center"/>
          </w:tcPr>
          <w:p>
            <w:pPr>
              <w:widowControl/>
              <w:jc w:val="left"/>
              <w:rPr>
                <w:kern w:val="0"/>
                <w:sz w:val="24"/>
                <w:szCs w:val="24"/>
              </w:rPr>
            </w:pPr>
          </w:p>
        </w:tc>
        <w:tc>
          <w:tcPr>
            <w:tcW w:w="3320" w:type="dxa"/>
            <w:gridSpan w:val="2"/>
            <w:vMerge w:val="continue"/>
            <w:vAlign w:val="center"/>
          </w:tcPr>
          <w:p>
            <w:pPr>
              <w:widowControl/>
              <w:jc w:val="center"/>
              <w:rPr>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76" w:type="dxa"/>
            <w:vMerge w:val="continue"/>
            <w:vAlign w:val="center"/>
          </w:tcPr>
          <w:p>
            <w:pPr>
              <w:widowControl/>
              <w:jc w:val="center"/>
              <w:rPr>
                <w:color w:val="000000"/>
                <w:kern w:val="0"/>
                <w:sz w:val="24"/>
                <w:szCs w:val="24"/>
              </w:rPr>
            </w:pPr>
          </w:p>
        </w:tc>
        <w:tc>
          <w:tcPr>
            <w:tcW w:w="1096" w:type="dxa"/>
            <w:vMerge w:val="continue"/>
            <w:vAlign w:val="center"/>
          </w:tcPr>
          <w:p>
            <w:pPr>
              <w:widowControl/>
              <w:jc w:val="center"/>
              <w:rPr>
                <w:i/>
                <w:iCs/>
                <w:color w:val="000000"/>
                <w:kern w:val="0"/>
                <w:sz w:val="24"/>
                <w:szCs w:val="24"/>
              </w:rPr>
            </w:pPr>
          </w:p>
        </w:tc>
        <w:tc>
          <w:tcPr>
            <w:tcW w:w="2836" w:type="dxa"/>
            <w:vAlign w:val="center"/>
          </w:tcPr>
          <w:p>
            <w:pPr>
              <w:widowControl/>
              <w:rPr>
                <w:rFonts w:ascii="宋体" w:cs="宋体"/>
                <w:i/>
                <w:iCs/>
                <w:color w:val="000000"/>
                <w:kern w:val="0"/>
              </w:rPr>
            </w:pPr>
            <w:r>
              <w:rPr>
                <w:rFonts w:hint="eastAsia" w:ascii="宋体" w:cs="宋体"/>
                <w:color w:val="000000"/>
                <w:kern w:val="0"/>
                <w:szCs w:val="21"/>
              </w:rPr>
              <w:t>（6）建立企业认证的书面或者电子资料的专门档案。</w:t>
            </w:r>
          </w:p>
        </w:tc>
        <w:tc>
          <w:tcPr>
            <w:tcW w:w="3705" w:type="dxa"/>
            <w:vAlign w:val="center"/>
          </w:tcPr>
          <w:p>
            <w:pPr>
              <w:widowControl/>
              <w:jc w:val="center"/>
              <w:rPr>
                <w:i/>
                <w:iCs/>
                <w:kern w:val="0"/>
                <w:sz w:val="24"/>
                <w:szCs w:val="24"/>
              </w:rPr>
            </w:pPr>
          </w:p>
        </w:tc>
        <w:tc>
          <w:tcPr>
            <w:tcW w:w="3909" w:type="dxa"/>
            <w:vAlign w:val="center"/>
          </w:tcPr>
          <w:p>
            <w:pPr>
              <w:widowControl/>
              <w:tabs>
                <w:tab w:val="left" w:pos="312"/>
              </w:tabs>
              <w:jc w:val="left"/>
              <w:rPr>
                <w:kern w:val="0"/>
                <w:sz w:val="24"/>
                <w:szCs w:val="24"/>
              </w:rPr>
            </w:pPr>
          </w:p>
        </w:tc>
        <w:tc>
          <w:tcPr>
            <w:tcW w:w="3320" w:type="dxa"/>
            <w:gridSpan w:val="2"/>
            <w:vMerge w:val="continue"/>
            <w:vAlign w:val="center"/>
          </w:tcPr>
          <w:p>
            <w:pPr>
              <w:widowControl/>
              <w:jc w:val="center"/>
              <w:rPr>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trPr>
        <w:tc>
          <w:tcPr>
            <w:tcW w:w="976" w:type="dxa"/>
            <w:vMerge w:val="continue"/>
            <w:vAlign w:val="center"/>
          </w:tcPr>
          <w:p>
            <w:pPr>
              <w:rPr>
                <w:color w:val="000000"/>
              </w:rPr>
            </w:pPr>
          </w:p>
        </w:tc>
        <w:tc>
          <w:tcPr>
            <w:tcW w:w="1096" w:type="dxa"/>
            <w:vMerge w:val="restart"/>
            <w:vAlign w:val="center"/>
          </w:tcPr>
          <w:p>
            <w:pPr>
              <w:widowControl/>
              <w:jc w:val="center"/>
              <w:rPr>
                <w:color w:val="000000"/>
                <w:kern w:val="0"/>
                <w:sz w:val="24"/>
                <w:szCs w:val="24"/>
              </w:rPr>
            </w:pPr>
            <w:r>
              <w:rPr>
                <w:rFonts w:hint="eastAsia" w:ascii="宋体" w:cs="宋体"/>
                <w:bCs/>
                <w:color w:val="000000"/>
                <w:kern w:val="0"/>
                <w:sz w:val="24"/>
              </w:rPr>
              <w:t>3.信息系统</w:t>
            </w:r>
          </w:p>
        </w:tc>
        <w:tc>
          <w:tcPr>
            <w:tcW w:w="2836" w:type="dxa"/>
            <w:tcBorders>
              <w:bottom w:val="single" w:color="auto" w:sz="4" w:space="0"/>
            </w:tcBorders>
            <w:vAlign w:val="center"/>
          </w:tcPr>
          <w:p>
            <w:pPr>
              <w:widowControl/>
              <w:rPr>
                <w:rFonts w:ascii="宋体"/>
                <w:color w:val="000000"/>
                <w:kern w:val="0"/>
              </w:rPr>
            </w:pPr>
            <w:r>
              <w:rPr>
                <w:rFonts w:hint="eastAsia" w:ascii="宋体" w:cs="宋体"/>
                <w:color w:val="000000"/>
                <w:kern w:val="0"/>
                <w:szCs w:val="21"/>
              </w:rPr>
              <w:t>（7）建立有效管理企业生产经营、进出口活动、财务数据等的信息系统，进出口活动主要环节在系统中能够实现流程检索、跟踪，涉及的货物流、单证流、信息流能够相互印证。</w:t>
            </w:r>
          </w:p>
        </w:tc>
        <w:tc>
          <w:tcPr>
            <w:tcW w:w="3705" w:type="dxa"/>
            <w:vMerge w:val="restart"/>
            <w:vAlign w:val="center"/>
          </w:tcPr>
          <w:p>
            <w:pPr>
              <w:rPr>
                <w:rFonts w:ascii="宋体" w:hAnsi="宋体"/>
                <w:color w:val="FF0000"/>
                <w:szCs w:val="21"/>
              </w:rPr>
            </w:pPr>
          </w:p>
          <w:p>
            <w:pPr>
              <w:rPr>
                <w:rFonts w:ascii="宋体" w:hAnsi="宋体"/>
                <w:color w:val="FF0000"/>
                <w:szCs w:val="21"/>
              </w:rPr>
            </w:pPr>
          </w:p>
        </w:tc>
        <w:tc>
          <w:tcPr>
            <w:tcW w:w="3909" w:type="dxa"/>
            <w:vMerge w:val="restart"/>
            <w:vAlign w:val="center"/>
          </w:tcPr>
          <w:p>
            <w:pPr>
              <w:widowControl/>
              <w:jc w:val="left"/>
              <w:rPr>
                <w:kern w:val="0"/>
                <w:szCs w:val="21"/>
              </w:rPr>
            </w:pPr>
          </w:p>
          <w:p>
            <w:pPr>
              <w:widowControl/>
              <w:jc w:val="left"/>
              <w:rPr>
                <w:kern w:val="0"/>
                <w:szCs w:val="21"/>
              </w:rPr>
            </w:pPr>
          </w:p>
          <w:p>
            <w:pPr>
              <w:widowControl/>
              <w:jc w:val="left"/>
              <w:rPr>
                <w:kern w:val="0"/>
                <w:szCs w:val="21"/>
              </w:rPr>
            </w:pPr>
          </w:p>
          <w:p>
            <w:pPr>
              <w:widowControl/>
              <w:jc w:val="left"/>
              <w:rPr>
                <w:kern w:val="0"/>
                <w:sz w:val="24"/>
                <w:szCs w:val="24"/>
              </w:rPr>
            </w:pPr>
          </w:p>
        </w:tc>
        <w:tc>
          <w:tcPr>
            <w:tcW w:w="3320" w:type="dxa"/>
            <w:gridSpan w:val="2"/>
            <w:vMerge w:val="restart"/>
            <w:vAlign w:val="center"/>
          </w:tcPr>
          <w:p>
            <w:pPr>
              <w:widowControl/>
              <w:jc w:val="center"/>
              <w:rPr>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976" w:type="dxa"/>
            <w:vMerge w:val="continue"/>
            <w:vAlign w:val="center"/>
          </w:tcPr>
          <w:p>
            <w:pPr>
              <w:rPr>
                <w:color w:val="000000"/>
              </w:rPr>
            </w:pPr>
          </w:p>
        </w:tc>
        <w:tc>
          <w:tcPr>
            <w:tcW w:w="1096" w:type="dxa"/>
            <w:vMerge w:val="continue"/>
            <w:vAlign w:val="center"/>
          </w:tcPr>
          <w:p>
            <w:pPr>
              <w:rPr>
                <w:color w:val="000000"/>
              </w:rPr>
            </w:pPr>
          </w:p>
        </w:tc>
        <w:tc>
          <w:tcPr>
            <w:tcW w:w="2836" w:type="dxa"/>
            <w:tcBorders>
              <w:top w:val="single" w:color="auto" w:sz="4" w:space="0"/>
            </w:tcBorders>
            <w:vAlign w:val="center"/>
          </w:tcPr>
          <w:p>
            <w:pPr>
              <w:rPr>
                <w:rFonts w:ascii="宋体" w:cs="宋体"/>
                <w:color w:val="000000"/>
                <w:kern w:val="0"/>
              </w:rPr>
            </w:pPr>
            <w:r>
              <w:rPr>
                <w:rFonts w:hint="eastAsia" w:ascii="宋体" w:cs="宋体"/>
                <w:color w:val="000000"/>
                <w:kern w:val="0"/>
                <w:szCs w:val="21"/>
              </w:rPr>
              <w:t>（8）生产经营数据以及与进出口活动有关的数据及时、准确、完整、规范录入系统。系统数据自进出口货物办结海关手续之日起保存3年以上。</w:t>
            </w:r>
          </w:p>
        </w:tc>
        <w:tc>
          <w:tcPr>
            <w:tcW w:w="3705" w:type="dxa"/>
            <w:vMerge w:val="continue"/>
            <w:vAlign w:val="center"/>
          </w:tcPr>
          <w:p/>
        </w:tc>
        <w:tc>
          <w:tcPr>
            <w:tcW w:w="3909" w:type="dxa"/>
            <w:vMerge w:val="continue"/>
            <w:vAlign w:val="center"/>
          </w:tcPr>
          <w:p>
            <w:pPr>
              <w:jc w:val="center"/>
            </w:pPr>
          </w:p>
        </w:tc>
        <w:tc>
          <w:tcPr>
            <w:tcW w:w="3320" w:type="dxa"/>
            <w:gridSpan w:val="2"/>
            <w:vMerge w:val="continue"/>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976" w:type="dxa"/>
            <w:vMerge w:val="continue"/>
            <w:vAlign w:val="center"/>
          </w:tcPr>
          <w:p>
            <w:pPr>
              <w:rPr>
                <w:color w:val="000000"/>
              </w:rPr>
            </w:pPr>
          </w:p>
        </w:tc>
        <w:tc>
          <w:tcPr>
            <w:tcW w:w="1096" w:type="dxa"/>
            <w:vMerge w:val="continue"/>
            <w:vAlign w:val="center"/>
          </w:tcPr>
          <w:p>
            <w:pPr>
              <w:rPr>
                <w:color w:val="000000"/>
              </w:rPr>
            </w:pPr>
          </w:p>
        </w:tc>
        <w:tc>
          <w:tcPr>
            <w:tcW w:w="2836" w:type="dxa"/>
            <w:vAlign w:val="center"/>
          </w:tcPr>
          <w:p>
            <w:pPr>
              <w:widowControl/>
              <w:rPr>
                <w:rFonts w:ascii="宋体"/>
                <w:b/>
                <w:color w:val="000000"/>
                <w:kern w:val="0"/>
              </w:rPr>
            </w:pPr>
            <w:r>
              <w:rPr>
                <w:rFonts w:hint="eastAsia" w:ascii="宋体" w:cs="宋体"/>
                <w:color w:val="000000"/>
                <w:kern w:val="0"/>
                <w:szCs w:val="21"/>
              </w:rPr>
              <w:t>（9）建立并执行信息安全管理制度，包括防火墙、密码等保护信息系统免受未经授权的访问，以及防止信息丢失的程序和备份功能，并对违反信息安全管理制度造成损害的行为予以责任追究。</w:t>
            </w:r>
          </w:p>
        </w:tc>
        <w:tc>
          <w:tcPr>
            <w:tcW w:w="3705" w:type="dxa"/>
            <w:vMerge w:val="continue"/>
            <w:vAlign w:val="center"/>
          </w:tcPr>
          <w:p/>
        </w:tc>
        <w:tc>
          <w:tcPr>
            <w:tcW w:w="3909" w:type="dxa"/>
            <w:vMerge w:val="continue"/>
            <w:vAlign w:val="center"/>
          </w:tcPr>
          <w:p>
            <w:pPr>
              <w:jc w:val="center"/>
            </w:pPr>
          </w:p>
        </w:tc>
        <w:tc>
          <w:tcPr>
            <w:tcW w:w="3320" w:type="dxa"/>
            <w:gridSpan w:val="2"/>
            <w:vMerge w:val="continue"/>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976" w:type="dxa"/>
            <w:vMerge w:val="restart"/>
            <w:vAlign w:val="center"/>
          </w:tcPr>
          <w:p>
            <w:pPr>
              <w:widowControl/>
              <w:jc w:val="center"/>
              <w:rPr>
                <w:color w:val="000000"/>
                <w:kern w:val="0"/>
                <w:sz w:val="24"/>
                <w:szCs w:val="24"/>
              </w:rPr>
            </w:pPr>
          </w:p>
        </w:tc>
        <w:tc>
          <w:tcPr>
            <w:tcW w:w="1096" w:type="dxa"/>
            <w:vMerge w:val="restart"/>
            <w:vAlign w:val="center"/>
          </w:tcPr>
          <w:p>
            <w:pPr>
              <w:widowControl/>
              <w:jc w:val="center"/>
              <w:rPr>
                <w:color w:val="000000"/>
                <w:kern w:val="0"/>
                <w:sz w:val="24"/>
                <w:szCs w:val="24"/>
              </w:rPr>
            </w:pPr>
            <w:r>
              <w:rPr>
                <w:rFonts w:hint="eastAsia" w:ascii="宋体" w:cs="宋体"/>
                <w:bCs/>
                <w:color w:val="000000"/>
                <w:kern w:val="0"/>
                <w:sz w:val="24"/>
              </w:rPr>
              <w:t>4.内部审计和改进</w:t>
            </w:r>
          </w:p>
        </w:tc>
        <w:tc>
          <w:tcPr>
            <w:tcW w:w="2836" w:type="dxa"/>
            <w:tcBorders>
              <w:bottom w:val="single" w:color="auto" w:sz="4" w:space="0"/>
            </w:tcBorders>
            <w:vAlign w:val="center"/>
          </w:tcPr>
          <w:p>
            <w:pPr>
              <w:rPr>
                <w:rFonts w:ascii="宋体" w:cs="宋体"/>
                <w:kern w:val="0"/>
              </w:rPr>
            </w:pPr>
            <w:r>
              <w:rPr>
                <w:rFonts w:hint="eastAsia" w:ascii="宋体" w:cs="宋体"/>
                <w:color w:val="000000"/>
                <w:kern w:val="0"/>
                <w:szCs w:val="21"/>
              </w:rPr>
              <w:t>（10）建立并执行对进出口活动的内部审计制度。</w:t>
            </w:r>
          </w:p>
        </w:tc>
        <w:tc>
          <w:tcPr>
            <w:tcW w:w="3705" w:type="dxa"/>
            <w:vAlign w:val="center"/>
          </w:tcPr>
          <w:p>
            <w:pPr>
              <w:rPr>
                <w:rFonts w:ascii="宋体" w:hAnsi="宋体"/>
                <w:color w:val="FF0000"/>
                <w:szCs w:val="21"/>
              </w:rPr>
            </w:pPr>
            <w:r>
              <w:rPr>
                <w:rFonts w:ascii="宋体" w:hAnsi="宋体"/>
                <w:color w:val="FF0000"/>
                <w:szCs w:val="21"/>
              </w:rPr>
              <w:t xml:space="preserve"> </w:t>
            </w:r>
          </w:p>
        </w:tc>
        <w:tc>
          <w:tcPr>
            <w:tcW w:w="3909" w:type="dxa"/>
            <w:vAlign w:val="center"/>
          </w:tcPr>
          <w:p>
            <w:pPr>
              <w:rPr>
                <w:kern w:val="0"/>
                <w:szCs w:val="21"/>
              </w:rPr>
            </w:pPr>
          </w:p>
        </w:tc>
        <w:tc>
          <w:tcPr>
            <w:tcW w:w="3320" w:type="dxa"/>
            <w:gridSpan w:val="2"/>
            <w:vMerge w:val="restart"/>
            <w:vAlign w:val="center"/>
          </w:tcPr>
          <w:p>
            <w:pPr>
              <w:jc w:val="center"/>
              <w:rPr>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976" w:type="dxa"/>
            <w:vMerge w:val="continue"/>
            <w:vAlign w:val="center"/>
          </w:tcPr>
          <w:p>
            <w:pPr>
              <w:widowControl/>
              <w:jc w:val="center"/>
              <w:rPr>
                <w:color w:val="000000"/>
                <w:kern w:val="0"/>
                <w:sz w:val="24"/>
                <w:szCs w:val="24"/>
              </w:rPr>
            </w:pPr>
          </w:p>
        </w:tc>
        <w:tc>
          <w:tcPr>
            <w:tcW w:w="1096" w:type="dxa"/>
            <w:vMerge w:val="continue"/>
            <w:vAlign w:val="center"/>
          </w:tcPr>
          <w:p>
            <w:pPr>
              <w:widowControl/>
              <w:jc w:val="center"/>
              <w:rPr>
                <w:color w:val="000000"/>
                <w:kern w:val="0"/>
                <w:sz w:val="24"/>
                <w:szCs w:val="24"/>
              </w:rPr>
            </w:pPr>
          </w:p>
        </w:tc>
        <w:tc>
          <w:tcPr>
            <w:tcW w:w="2836" w:type="dxa"/>
            <w:tcBorders>
              <w:bottom w:val="single" w:color="auto" w:sz="4" w:space="0"/>
            </w:tcBorders>
            <w:vAlign w:val="center"/>
          </w:tcPr>
          <w:p>
            <w:pPr>
              <w:rPr>
                <w:rFonts w:hint="eastAsia" w:ascii="宋体" w:cs="宋体"/>
                <w:i/>
                <w:iCs/>
                <w:color w:val="000000"/>
                <w:kern w:val="0"/>
              </w:rPr>
            </w:pPr>
            <w:r>
              <w:rPr>
                <w:rFonts w:hint="eastAsia" w:ascii="宋体" w:cs="宋体"/>
                <w:color w:val="000000"/>
                <w:kern w:val="0"/>
                <w:szCs w:val="21"/>
              </w:rPr>
              <w:t>（11）每年实施进出口活动及持续符合高级认证企业标准的内部审计，完整记录内部审计过程和结果。</w:t>
            </w:r>
          </w:p>
        </w:tc>
        <w:tc>
          <w:tcPr>
            <w:tcW w:w="3705" w:type="dxa"/>
            <w:vAlign w:val="center"/>
          </w:tcPr>
          <w:p>
            <w:pPr>
              <w:rPr>
                <w:rFonts w:ascii="宋体" w:hAnsi="宋体"/>
                <w:color w:val="FF0000"/>
                <w:szCs w:val="21"/>
              </w:rPr>
            </w:pPr>
          </w:p>
        </w:tc>
        <w:tc>
          <w:tcPr>
            <w:tcW w:w="3909" w:type="dxa"/>
            <w:vAlign w:val="center"/>
          </w:tcPr>
          <w:p>
            <w:pPr>
              <w:pStyle w:val="19"/>
              <w:ind w:left="360" w:firstLine="0" w:firstLineChars="0"/>
              <w:rPr>
                <w:kern w:val="0"/>
                <w:szCs w:val="21"/>
              </w:rPr>
            </w:pPr>
          </w:p>
        </w:tc>
        <w:tc>
          <w:tcPr>
            <w:tcW w:w="3320" w:type="dxa"/>
            <w:gridSpan w:val="2"/>
            <w:vMerge w:val="continue"/>
            <w:vAlign w:val="center"/>
          </w:tcPr>
          <w:p>
            <w:pPr>
              <w:widowControl/>
              <w:jc w:val="center"/>
              <w:rPr>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976" w:type="dxa"/>
            <w:vMerge w:val="continue"/>
            <w:vAlign w:val="center"/>
          </w:tcPr>
          <w:p>
            <w:pPr>
              <w:widowControl/>
              <w:jc w:val="center"/>
              <w:rPr>
                <w:color w:val="000000"/>
                <w:kern w:val="0"/>
                <w:sz w:val="24"/>
                <w:szCs w:val="24"/>
              </w:rPr>
            </w:pPr>
          </w:p>
        </w:tc>
        <w:tc>
          <w:tcPr>
            <w:tcW w:w="1096" w:type="dxa"/>
            <w:vMerge w:val="continue"/>
            <w:vAlign w:val="center"/>
          </w:tcPr>
          <w:p>
            <w:pPr>
              <w:widowControl/>
              <w:jc w:val="center"/>
              <w:rPr>
                <w:color w:val="000000"/>
                <w:kern w:val="0"/>
                <w:sz w:val="24"/>
                <w:szCs w:val="24"/>
              </w:rPr>
            </w:pPr>
          </w:p>
        </w:tc>
        <w:tc>
          <w:tcPr>
            <w:tcW w:w="2836" w:type="dxa"/>
            <w:tcBorders>
              <w:bottom w:val="single" w:color="auto" w:sz="4" w:space="0"/>
            </w:tcBorders>
            <w:vAlign w:val="center"/>
          </w:tcPr>
          <w:p>
            <w:pPr>
              <w:rPr>
                <w:rFonts w:ascii="宋体" w:cs="宋体"/>
                <w:i/>
                <w:iCs/>
                <w:color w:val="000000"/>
                <w:kern w:val="0"/>
              </w:rPr>
            </w:pPr>
            <w:r>
              <w:rPr>
                <w:rFonts w:hint="eastAsia" w:ascii="宋体" w:cs="宋体"/>
                <w:color w:val="000000"/>
                <w:kern w:val="0"/>
                <w:szCs w:val="21"/>
              </w:rPr>
              <w:t>（12）建立并执行对进出口活动中已发现问题的改进机制和违法行为的责任追究机制。发现有不符合海关企业认证标准事项导致企业无法持续符合高级认证企业标准的，应当主动及时向海关报告。对海关要求的改正或者规范改进等事项，应当由法定代表人（负责人）或者负责关务的高级管理人员组织实施。</w:t>
            </w:r>
          </w:p>
        </w:tc>
        <w:tc>
          <w:tcPr>
            <w:tcW w:w="3705" w:type="dxa"/>
            <w:vAlign w:val="center"/>
          </w:tcPr>
          <w:p>
            <w:pPr>
              <w:rPr>
                <w:rFonts w:ascii="宋体" w:hAnsi="宋体"/>
                <w:color w:val="FF0000"/>
                <w:szCs w:val="21"/>
              </w:rPr>
            </w:pPr>
          </w:p>
        </w:tc>
        <w:tc>
          <w:tcPr>
            <w:tcW w:w="3909" w:type="dxa"/>
            <w:vAlign w:val="center"/>
          </w:tcPr>
          <w:p>
            <w:pPr>
              <w:pStyle w:val="19"/>
              <w:ind w:left="360" w:firstLine="0" w:firstLineChars="0"/>
              <w:rPr>
                <w:kern w:val="0"/>
                <w:szCs w:val="21"/>
              </w:rPr>
            </w:pPr>
          </w:p>
        </w:tc>
        <w:tc>
          <w:tcPr>
            <w:tcW w:w="3320" w:type="dxa"/>
            <w:gridSpan w:val="2"/>
            <w:vMerge w:val="continue"/>
            <w:vAlign w:val="center"/>
          </w:tcPr>
          <w:p>
            <w:pPr>
              <w:widowControl/>
              <w:jc w:val="center"/>
              <w:rPr>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13" w:type="dxa"/>
            <w:gridSpan w:val="4"/>
            <w:vAlign w:val="center"/>
          </w:tcPr>
          <w:p>
            <w:pPr>
              <w:widowControl/>
              <w:spacing w:line="600" w:lineRule="auto"/>
              <w:jc w:val="left"/>
              <w:rPr>
                <w:b/>
                <w:kern w:val="0"/>
                <w:szCs w:val="21"/>
              </w:rPr>
            </w:pPr>
            <w:r>
              <w:rPr>
                <w:rFonts w:hint="eastAsia"/>
                <w:b/>
                <w:bCs/>
                <w:color w:val="000000"/>
                <w:kern w:val="0"/>
                <w:sz w:val="24"/>
                <w:szCs w:val="24"/>
              </w:rPr>
              <w:t>二、财务状况标准</w:t>
            </w:r>
          </w:p>
        </w:tc>
        <w:tc>
          <w:tcPr>
            <w:tcW w:w="3909" w:type="dxa"/>
            <w:vAlign w:val="center"/>
          </w:tcPr>
          <w:p>
            <w:pPr>
              <w:widowControl/>
              <w:jc w:val="center"/>
              <w:rPr>
                <w:b/>
                <w:kern w:val="0"/>
                <w:szCs w:val="21"/>
              </w:rPr>
            </w:pPr>
          </w:p>
        </w:tc>
        <w:tc>
          <w:tcPr>
            <w:tcW w:w="3320" w:type="dxa"/>
            <w:gridSpan w:val="2"/>
            <w:vAlign w:val="center"/>
          </w:tcPr>
          <w:p>
            <w:pPr>
              <w:widowControl/>
              <w:jc w:val="center"/>
              <w:rPr>
                <w:kern w:val="0"/>
                <w:sz w:val="24"/>
                <w:szCs w:val="24"/>
              </w:rPr>
            </w:pPr>
            <w:r>
              <w:rPr>
                <w:rFonts w:hint="eastAsia"/>
                <w:kern w:val="0"/>
                <w:sz w:val="24"/>
                <w:szCs w:val="24"/>
              </w:rPr>
              <w:t>评分情况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76" w:type="dxa"/>
            <w:vMerge w:val="restart"/>
            <w:vAlign w:val="center"/>
          </w:tcPr>
          <w:p>
            <w:pPr>
              <w:widowControl/>
              <w:jc w:val="center"/>
              <w:rPr>
                <w:rFonts w:hint="eastAsia"/>
                <w:color w:val="000000"/>
                <w:kern w:val="0"/>
                <w:sz w:val="24"/>
                <w:szCs w:val="24"/>
              </w:rPr>
            </w:pPr>
          </w:p>
        </w:tc>
        <w:tc>
          <w:tcPr>
            <w:tcW w:w="1096" w:type="dxa"/>
            <w:vAlign w:val="center"/>
          </w:tcPr>
          <w:p>
            <w:pPr>
              <w:widowControl/>
              <w:jc w:val="center"/>
              <w:rPr>
                <w:color w:val="000000"/>
                <w:kern w:val="0"/>
                <w:sz w:val="24"/>
                <w:szCs w:val="24"/>
              </w:rPr>
            </w:pPr>
            <w:r>
              <w:rPr>
                <w:rFonts w:hint="eastAsia" w:ascii="宋体" w:cs="宋体"/>
                <w:bCs/>
                <w:color w:val="000000"/>
                <w:kern w:val="0"/>
                <w:sz w:val="24"/>
              </w:rPr>
              <w:t>5．财务状况</w:t>
            </w:r>
          </w:p>
        </w:tc>
        <w:tc>
          <w:tcPr>
            <w:tcW w:w="2836" w:type="dxa"/>
            <w:vAlign w:val="center"/>
          </w:tcPr>
          <w:p>
            <w:pPr>
              <w:jc w:val="left"/>
              <w:rPr>
                <w:rFonts w:hint="eastAsia" w:ascii="宋体" w:cs="宋体"/>
                <w:color w:val="000000"/>
                <w:kern w:val="0"/>
                <w:szCs w:val="21"/>
              </w:rPr>
            </w:pPr>
            <w:r>
              <w:rPr>
                <w:rFonts w:hint="eastAsia" w:ascii="宋体" w:cs="宋体"/>
                <w:color w:val="000000"/>
                <w:kern w:val="0"/>
                <w:szCs w:val="21"/>
              </w:rPr>
              <w:t>（13）企业应当提供财务状况相关证明, 可选择以下任一方式：</w:t>
            </w:r>
          </w:p>
          <w:p>
            <w:pPr>
              <w:pStyle w:val="16"/>
              <w:numPr>
                <w:ilvl w:val="0"/>
                <w:numId w:val="1"/>
              </w:numPr>
              <w:adjustRightInd w:val="0"/>
              <w:snapToGrid w:val="0"/>
              <w:ind w:firstLineChars="0"/>
              <w:jc w:val="left"/>
              <w:rPr>
                <w:rFonts w:hint="eastAsia" w:ascii="宋体" w:cs="宋体"/>
                <w:color w:val="000000"/>
              </w:rPr>
            </w:pPr>
            <w:r>
              <w:rPr>
                <w:rFonts w:hint="eastAsia" w:ascii="宋体" w:cs="宋体"/>
                <w:color w:val="000000"/>
              </w:rPr>
              <w:t>提供会计师事务所审计报告。</w:t>
            </w:r>
          </w:p>
          <w:p>
            <w:pPr>
              <w:pStyle w:val="16"/>
              <w:numPr>
                <w:ilvl w:val="0"/>
                <w:numId w:val="1"/>
              </w:numPr>
              <w:adjustRightInd w:val="0"/>
              <w:snapToGrid w:val="0"/>
              <w:ind w:firstLineChars="0"/>
              <w:jc w:val="left"/>
              <w:rPr>
                <w:rFonts w:hint="eastAsia" w:ascii="宋体"/>
                <w:color w:val="000000"/>
                <w:kern w:val="0"/>
              </w:rPr>
            </w:pPr>
            <w:r>
              <w:rPr>
                <w:rFonts w:hint="eastAsia" w:ascii="宋体" w:cs="宋体"/>
                <w:color w:val="000000"/>
              </w:rPr>
              <w:t>企业的ERP系统已与海关对接的，提供资产负债表。</w:t>
            </w:r>
          </w:p>
        </w:tc>
        <w:tc>
          <w:tcPr>
            <w:tcW w:w="3705" w:type="dxa"/>
            <w:vAlign w:val="center"/>
          </w:tcPr>
          <w:p>
            <w:pPr>
              <w:widowControl/>
              <w:jc w:val="left"/>
              <w:rPr>
                <w:color w:val="FF0000"/>
                <w:kern w:val="0"/>
                <w:szCs w:val="21"/>
              </w:rPr>
            </w:pPr>
          </w:p>
        </w:tc>
        <w:tc>
          <w:tcPr>
            <w:tcW w:w="3909" w:type="dxa"/>
            <w:vAlign w:val="center"/>
          </w:tcPr>
          <w:p>
            <w:pPr>
              <w:rPr>
                <w:kern w:val="0"/>
                <w:sz w:val="24"/>
                <w:szCs w:val="24"/>
              </w:rPr>
            </w:pPr>
          </w:p>
        </w:tc>
        <w:tc>
          <w:tcPr>
            <w:tcW w:w="3320" w:type="dxa"/>
            <w:gridSpan w:val="2"/>
            <w:tcBorders>
              <w:bottom w:val="single" w:color="auto" w:sz="4" w:space="0"/>
            </w:tcBorders>
            <w:vAlign w:val="center"/>
          </w:tcPr>
          <w:p>
            <w:pPr>
              <w:widowControl/>
              <w:jc w:val="center"/>
              <w:rPr>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76" w:type="dxa"/>
            <w:vMerge w:val="continue"/>
            <w:vAlign w:val="center"/>
          </w:tcPr>
          <w:p>
            <w:pPr>
              <w:rPr>
                <w:color w:val="000000"/>
              </w:rPr>
            </w:pPr>
          </w:p>
        </w:tc>
        <w:tc>
          <w:tcPr>
            <w:tcW w:w="1096" w:type="dxa"/>
            <w:vAlign w:val="center"/>
          </w:tcPr>
          <w:p>
            <w:pPr>
              <w:widowControl/>
              <w:rPr>
                <w:rFonts w:ascii="宋体"/>
                <w:color w:val="000000"/>
                <w:kern w:val="0"/>
              </w:rPr>
            </w:pPr>
          </w:p>
        </w:tc>
        <w:tc>
          <w:tcPr>
            <w:tcW w:w="2836" w:type="dxa"/>
            <w:vAlign w:val="center"/>
          </w:tcPr>
          <w:p>
            <w:pPr>
              <w:widowControl/>
              <w:rPr>
                <w:rFonts w:ascii="宋体"/>
                <w:color w:val="000000"/>
                <w:kern w:val="0"/>
              </w:rPr>
            </w:pPr>
            <w:r>
              <w:rPr>
                <w:rFonts w:hint="eastAsia" w:ascii="宋体" w:cs="宋体"/>
                <w:color w:val="000000"/>
                <w:kern w:val="0"/>
                <w:szCs w:val="21"/>
              </w:rPr>
              <w:t>（14）无连续5年资产负债率超过95%情形。</w:t>
            </w:r>
          </w:p>
        </w:tc>
        <w:tc>
          <w:tcPr>
            <w:tcW w:w="3705" w:type="dxa"/>
            <w:vAlign w:val="center"/>
          </w:tcPr>
          <w:p>
            <w:pPr>
              <w:widowControl/>
              <w:jc w:val="left"/>
              <w:rPr>
                <w:kern w:val="0"/>
                <w:sz w:val="24"/>
                <w:szCs w:val="24"/>
              </w:rPr>
            </w:pPr>
          </w:p>
        </w:tc>
        <w:tc>
          <w:tcPr>
            <w:tcW w:w="3909" w:type="dxa"/>
            <w:vAlign w:val="center"/>
          </w:tcPr>
          <w:p>
            <w:pPr>
              <w:widowControl/>
              <w:jc w:val="left"/>
              <w:rPr>
                <w:kern w:val="0"/>
                <w:sz w:val="24"/>
                <w:szCs w:val="24"/>
              </w:rPr>
            </w:pPr>
          </w:p>
        </w:tc>
        <w:tc>
          <w:tcPr>
            <w:tcW w:w="3320" w:type="dxa"/>
            <w:gridSpan w:val="2"/>
            <w:tcBorders>
              <w:bottom w:val="single" w:color="auto" w:sz="4" w:space="0"/>
            </w:tcBorders>
            <w:vAlign w:val="center"/>
          </w:tcPr>
          <w:p>
            <w:pPr>
              <w:widowControl/>
              <w:jc w:val="center"/>
              <w:rPr>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939" w:type="dxa"/>
            <w:gridSpan w:val="6"/>
            <w:vAlign w:val="center"/>
          </w:tcPr>
          <w:p>
            <w:pPr>
              <w:widowControl/>
              <w:spacing w:line="600" w:lineRule="auto"/>
              <w:jc w:val="left"/>
              <w:rPr>
                <w:b/>
                <w:kern w:val="0"/>
                <w:sz w:val="24"/>
                <w:szCs w:val="24"/>
              </w:rPr>
            </w:pPr>
            <w:r>
              <w:rPr>
                <w:rFonts w:hint="eastAsia"/>
                <w:b/>
                <w:bCs/>
                <w:color w:val="000000"/>
                <w:kern w:val="0"/>
                <w:sz w:val="24"/>
                <w:szCs w:val="24"/>
              </w:rPr>
              <w:t>三、守法规范标准</w:t>
            </w:r>
          </w:p>
        </w:tc>
        <w:tc>
          <w:tcPr>
            <w:tcW w:w="903" w:type="dxa"/>
            <w:vAlign w:val="center"/>
          </w:tcPr>
          <w:p>
            <w:pPr>
              <w:widowControl/>
              <w:jc w:val="center"/>
              <w:rPr>
                <w:b/>
                <w:kern w:val="0"/>
                <w:sz w:val="24"/>
                <w:szCs w:val="24"/>
              </w:rPr>
            </w:pPr>
            <w:r>
              <w:rPr>
                <w:rFonts w:hint="eastAsia"/>
                <w:b/>
                <w:kern w:val="0"/>
                <w:sz w:val="24"/>
                <w:szCs w:val="24"/>
              </w:rPr>
              <w:t>评分情况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976" w:type="dxa"/>
            <w:vMerge w:val="restart"/>
            <w:vAlign w:val="center"/>
          </w:tcPr>
          <w:p>
            <w:pPr>
              <w:rPr>
                <w:color w:val="000000"/>
              </w:rPr>
            </w:pPr>
          </w:p>
        </w:tc>
        <w:tc>
          <w:tcPr>
            <w:tcW w:w="1096" w:type="dxa"/>
            <w:vMerge w:val="restart"/>
            <w:vAlign w:val="center"/>
          </w:tcPr>
          <w:p>
            <w:pPr>
              <w:jc w:val="center"/>
              <w:rPr>
                <w:color w:val="000000"/>
                <w:kern w:val="0"/>
                <w:sz w:val="24"/>
                <w:szCs w:val="24"/>
              </w:rPr>
            </w:pPr>
            <w:r>
              <w:rPr>
                <w:rFonts w:hint="eastAsia" w:ascii="宋体" w:cs="宋体"/>
                <w:bCs/>
                <w:color w:val="000000"/>
                <w:kern w:val="0"/>
                <w:sz w:val="24"/>
              </w:rPr>
              <w:t>6.遵守法律法规</w:t>
            </w:r>
          </w:p>
        </w:tc>
        <w:tc>
          <w:tcPr>
            <w:tcW w:w="2836" w:type="dxa"/>
            <w:vAlign w:val="center"/>
          </w:tcPr>
          <w:p>
            <w:pPr>
              <w:rPr>
                <w:color w:val="000000"/>
              </w:rPr>
            </w:pPr>
            <w:r>
              <w:rPr>
                <w:rFonts w:hint="eastAsia" w:ascii="宋体" w:cs="宋体"/>
                <w:color w:val="000000"/>
                <w:kern w:val="0"/>
                <w:szCs w:val="21"/>
              </w:rPr>
              <w:t>（15）企业法定代表人、主要负责人、财务负责人、关务负责人1年内未因故意犯罪受过刑事处罚。</w:t>
            </w:r>
          </w:p>
        </w:tc>
        <w:tc>
          <w:tcPr>
            <w:tcW w:w="3705" w:type="dxa"/>
            <w:vAlign w:val="center"/>
          </w:tcPr>
          <w:p>
            <w:pPr>
              <w:widowControl/>
              <w:jc w:val="left"/>
              <w:rPr>
                <w:kern w:val="0"/>
                <w:sz w:val="24"/>
                <w:szCs w:val="24"/>
              </w:rPr>
            </w:pPr>
          </w:p>
        </w:tc>
        <w:tc>
          <w:tcPr>
            <w:tcW w:w="3909" w:type="dxa"/>
            <w:vAlign w:val="center"/>
          </w:tcPr>
          <w:p>
            <w:pPr>
              <w:widowControl/>
              <w:jc w:val="left"/>
              <w:rPr>
                <w:kern w:val="0"/>
                <w:sz w:val="24"/>
                <w:szCs w:val="24"/>
              </w:rPr>
            </w:pPr>
          </w:p>
        </w:tc>
        <w:tc>
          <w:tcPr>
            <w:tcW w:w="3320" w:type="dxa"/>
            <w:gridSpan w:val="2"/>
            <w:vAlign w:val="center"/>
          </w:tcPr>
          <w:p>
            <w:pPr>
              <w:widowControl/>
              <w:jc w:val="left"/>
              <w:rPr>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976" w:type="dxa"/>
            <w:vMerge w:val="continue"/>
            <w:vAlign w:val="center"/>
          </w:tcPr>
          <w:p>
            <w:pPr>
              <w:rPr>
                <w:color w:val="000000"/>
              </w:rPr>
            </w:pPr>
          </w:p>
        </w:tc>
        <w:tc>
          <w:tcPr>
            <w:tcW w:w="1096" w:type="dxa"/>
            <w:vMerge w:val="continue"/>
            <w:vAlign w:val="center"/>
          </w:tcPr>
          <w:p>
            <w:pPr>
              <w:widowControl/>
              <w:jc w:val="center"/>
              <w:rPr>
                <w:i/>
                <w:color w:val="000000"/>
                <w:kern w:val="0"/>
                <w:sz w:val="24"/>
                <w:szCs w:val="24"/>
              </w:rPr>
            </w:pPr>
          </w:p>
        </w:tc>
        <w:tc>
          <w:tcPr>
            <w:tcW w:w="2836" w:type="dxa"/>
            <w:vAlign w:val="center"/>
          </w:tcPr>
          <w:p>
            <w:pPr>
              <w:widowControl/>
              <w:rPr>
                <w:rFonts w:ascii="宋体" w:cs="宋体"/>
                <w:i/>
                <w:color w:val="000000"/>
                <w:kern w:val="0"/>
              </w:rPr>
            </w:pPr>
            <w:r>
              <w:rPr>
                <w:rFonts w:hint="eastAsia" w:ascii="宋体" w:cs="宋体"/>
                <w:color w:val="000000"/>
                <w:kern w:val="0"/>
                <w:szCs w:val="21"/>
              </w:rPr>
              <w:t>（16）1年内无因违反海关的监管规定被海关行政处罚金额超过5万元的行为。</w:t>
            </w:r>
          </w:p>
        </w:tc>
        <w:tc>
          <w:tcPr>
            <w:tcW w:w="3705" w:type="dxa"/>
            <w:vAlign w:val="center"/>
          </w:tcPr>
          <w:p>
            <w:pPr>
              <w:widowControl/>
              <w:jc w:val="left"/>
              <w:rPr>
                <w:kern w:val="0"/>
                <w:sz w:val="24"/>
                <w:szCs w:val="24"/>
              </w:rPr>
            </w:pPr>
          </w:p>
        </w:tc>
        <w:tc>
          <w:tcPr>
            <w:tcW w:w="3909" w:type="dxa"/>
            <w:vAlign w:val="center"/>
          </w:tcPr>
          <w:p>
            <w:pPr>
              <w:widowControl/>
              <w:jc w:val="left"/>
              <w:rPr>
                <w:kern w:val="0"/>
                <w:sz w:val="24"/>
                <w:szCs w:val="24"/>
              </w:rPr>
            </w:pPr>
          </w:p>
        </w:tc>
        <w:tc>
          <w:tcPr>
            <w:tcW w:w="3320" w:type="dxa"/>
            <w:gridSpan w:val="2"/>
            <w:vAlign w:val="center"/>
          </w:tcPr>
          <w:p>
            <w:pPr>
              <w:widowControl/>
              <w:jc w:val="left"/>
              <w:rPr>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976" w:type="dxa"/>
            <w:vMerge w:val="continue"/>
            <w:vAlign w:val="center"/>
          </w:tcPr>
          <w:p>
            <w:pPr>
              <w:rPr>
                <w:color w:val="000000"/>
              </w:rPr>
            </w:pPr>
          </w:p>
        </w:tc>
        <w:tc>
          <w:tcPr>
            <w:tcW w:w="1096" w:type="dxa"/>
            <w:vMerge w:val="continue"/>
            <w:vAlign w:val="center"/>
          </w:tcPr>
          <w:p>
            <w:pPr>
              <w:rPr>
                <w:i/>
                <w:color w:val="000000"/>
              </w:rPr>
            </w:pPr>
          </w:p>
        </w:tc>
        <w:tc>
          <w:tcPr>
            <w:tcW w:w="2836" w:type="dxa"/>
            <w:vAlign w:val="center"/>
          </w:tcPr>
          <w:p>
            <w:pPr>
              <w:widowControl/>
              <w:rPr>
                <w:rFonts w:ascii="宋体" w:cs="宋体"/>
                <w:i/>
                <w:color w:val="000000"/>
                <w:kern w:val="0"/>
              </w:rPr>
            </w:pPr>
            <w:r>
              <w:rPr>
                <w:rFonts w:hint="eastAsia" w:ascii="宋体" w:cs="宋体"/>
                <w:color w:val="000000"/>
                <w:kern w:val="0"/>
                <w:szCs w:val="21"/>
              </w:rPr>
              <w:t>（17）1年内因违反海关的监管规定被海关行政处罚金额累计不超过10万元，且违法次数不超过5次或者违法次数不超过上年度报关单、进出境备案清单、进出境运输工具舱单等单证总票数千分之一。</w:t>
            </w:r>
          </w:p>
        </w:tc>
        <w:tc>
          <w:tcPr>
            <w:tcW w:w="3705" w:type="dxa"/>
            <w:vAlign w:val="center"/>
          </w:tcPr>
          <w:p>
            <w:pPr>
              <w:widowControl/>
              <w:jc w:val="left"/>
              <w:rPr>
                <w:kern w:val="0"/>
                <w:sz w:val="24"/>
                <w:szCs w:val="24"/>
              </w:rPr>
            </w:pPr>
          </w:p>
        </w:tc>
        <w:tc>
          <w:tcPr>
            <w:tcW w:w="3909" w:type="dxa"/>
            <w:vAlign w:val="center"/>
          </w:tcPr>
          <w:p>
            <w:pPr>
              <w:widowControl/>
              <w:jc w:val="left"/>
              <w:rPr>
                <w:kern w:val="0"/>
                <w:sz w:val="24"/>
                <w:szCs w:val="24"/>
              </w:rPr>
            </w:pPr>
          </w:p>
        </w:tc>
        <w:tc>
          <w:tcPr>
            <w:tcW w:w="3320" w:type="dxa"/>
            <w:gridSpan w:val="2"/>
            <w:vMerge w:val="restart"/>
            <w:tcBorders>
              <w:top w:val="nil"/>
            </w:tcBorders>
            <w:vAlign w:val="center"/>
          </w:tcPr>
          <w:p>
            <w:pPr>
              <w:widowControl/>
              <w:jc w:val="left"/>
              <w:rPr>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976" w:type="dxa"/>
            <w:vMerge w:val="continue"/>
            <w:vAlign w:val="center"/>
          </w:tcPr>
          <w:p>
            <w:pPr>
              <w:rPr>
                <w:color w:val="000000"/>
              </w:rPr>
            </w:pPr>
          </w:p>
        </w:tc>
        <w:tc>
          <w:tcPr>
            <w:tcW w:w="1096" w:type="dxa"/>
            <w:vMerge w:val="continue"/>
            <w:vAlign w:val="center"/>
          </w:tcPr>
          <w:p>
            <w:pPr>
              <w:rPr>
                <w:i/>
                <w:color w:val="000000"/>
              </w:rPr>
            </w:pPr>
          </w:p>
        </w:tc>
        <w:tc>
          <w:tcPr>
            <w:tcW w:w="2836" w:type="dxa"/>
            <w:vAlign w:val="center"/>
          </w:tcPr>
          <w:p>
            <w:pPr>
              <w:widowControl/>
              <w:rPr>
                <w:rFonts w:ascii="宋体" w:cs="宋体"/>
                <w:i/>
                <w:color w:val="000000"/>
                <w:kern w:val="0"/>
              </w:rPr>
            </w:pPr>
            <w:r>
              <w:rPr>
                <w:rFonts w:hint="eastAsia" w:ascii="宋体" w:cs="宋体"/>
                <w:color w:val="000000"/>
                <w:kern w:val="0"/>
                <w:szCs w:val="21"/>
              </w:rPr>
              <w:t>（18）1年内无因进口禁止进境的固体废物违反海关监管规定被海关行政处罚的情形。</w:t>
            </w:r>
          </w:p>
        </w:tc>
        <w:tc>
          <w:tcPr>
            <w:tcW w:w="3705" w:type="dxa"/>
            <w:vAlign w:val="center"/>
          </w:tcPr>
          <w:p>
            <w:pPr>
              <w:widowControl/>
              <w:jc w:val="left"/>
              <w:rPr>
                <w:kern w:val="0"/>
                <w:szCs w:val="21"/>
              </w:rPr>
            </w:pPr>
          </w:p>
        </w:tc>
        <w:tc>
          <w:tcPr>
            <w:tcW w:w="3909" w:type="dxa"/>
            <w:vAlign w:val="center"/>
          </w:tcPr>
          <w:p>
            <w:pPr>
              <w:widowControl/>
              <w:jc w:val="left"/>
              <w:rPr>
                <w:kern w:val="0"/>
                <w:sz w:val="24"/>
                <w:szCs w:val="24"/>
              </w:rPr>
            </w:pPr>
          </w:p>
        </w:tc>
        <w:tc>
          <w:tcPr>
            <w:tcW w:w="3320" w:type="dxa"/>
            <w:gridSpan w:val="2"/>
            <w:vMerge w:val="continue"/>
            <w:tcBorders>
              <w:top w:val="nil"/>
            </w:tcBorders>
            <w:vAlign w:val="center"/>
          </w:tcPr>
          <w:p>
            <w:pPr>
              <w:widowControl/>
              <w:jc w:val="left"/>
              <w:rPr>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976" w:type="dxa"/>
            <w:vMerge w:val="continue"/>
            <w:vAlign w:val="center"/>
          </w:tcPr>
          <w:p>
            <w:pPr>
              <w:rPr>
                <w:color w:val="000000"/>
              </w:rPr>
            </w:pPr>
          </w:p>
        </w:tc>
        <w:tc>
          <w:tcPr>
            <w:tcW w:w="1096" w:type="dxa"/>
            <w:vMerge w:val="continue"/>
            <w:vAlign w:val="center"/>
          </w:tcPr>
          <w:p>
            <w:pPr>
              <w:widowControl/>
              <w:rPr>
                <w:i/>
                <w:color w:val="000000"/>
                <w:kern w:val="0"/>
                <w:sz w:val="24"/>
                <w:szCs w:val="24"/>
              </w:rPr>
            </w:pPr>
          </w:p>
        </w:tc>
        <w:tc>
          <w:tcPr>
            <w:tcW w:w="2836" w:type="dxa"/>
            <w:vAlign w:val="center"/>
          </w:tcPr>
          <w:p>
            <w:pPr>
              <w:widowControl/>
              <w:rPr>
                <w:rFonts w:ascii="宋体" w:cs="宋体"/>
                <w:i/>
                <w:iCs/>
                <w:color w:val="000000"/>
                <w:kern w:val="0"/>
              </w:rPr>
            </w:pPr>
            <w:r>
              <w:rPr>
                <w:rFonts w:hint="eastAsia" w:ascii="宋体"/>
                <w:color w:val="000000"/>
                <w:szCs w:val="21"/>
              </w:rPr>
              <w:t>上述（16）（17）所列行为经海关认定系企业自查发现并主动向海关报明的，比照《中华人民共和国海关注册登记和备案企业信用管理办法》第三十七条第四款执行。</w:t>
            </w:r>
          </w:p>
        </w:tc>
        <w:tc>
          <w:tcPr>
            <w:tcW w:w="3705" w:type="dxa"/>
          </w:tcPr>
          <w:p>
            <w:pPr>
              <w:widowControl/>
              <w:jc w:val="left"/>
              <w:rPr>
                <w:kern w:val="0"/>
                <w:szCs w:val="21"/>
              </w:rPr>
            </w:pPr>
          </w:p>
        </w:tc>
        <w:tc>
          <w:tcPr>
            <w:tcW w:w="3909" w:type="dxa"/>
            <w:vAlign w:val="center"/>
          </w:tcPr>
          <w:p>
            <w:pPr>
              <w:widowControl/>
              <w:jc w:val="left"/>
              <w:rPr>
                <w:kern w:val="0"/>
                <w:sz w:val="24"/>
                <w:szCs w:val="24"/>
              </w:rPr>
            </w:pPr>
          </w:p>
        </w:tc>
        <w:tc>
          <w:tcPr>
            <w:tcW w:w="3320" w:type="dxa"/>
            <w:gridSpan w:val="2"/>
            <w:vMerge w:val="continue"/>
            <w:vAlign w:val="center"/>
          </w:tcPr>
          <w:p>
            <w:pPr>
              <w:widowControl/>
              <w:jc w:val="left"/>
              <w:rPr>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76" w:type="dxa"/>
            <w:vMerge w:val="restart"/>
            <w:vAlign w:val="center"/>
          </w:tcPr>
          <w:p>
            <w:pPr>
              <w:widowControl/>
              <w:jc w:val="center"/>
              <w:rPr>
                <w:rFonts w:hint="eastAsia"/>
                <w:color w:val="000000"/>
                <w:kern w:val="0"/>
                <w:sz w:val="24"/>
                <w:szCs w:val="24"/>
              </w:rPr>
            </w:pPr>
          </w:p>
          <w:p>
            <w:pPr>
              <w:widowControl/>
              <w:jc w:val="center"/>
              <w:rPr>
                <w:color w:val="000000"/>
                <w:kern w:val="0"/>
                <w:sz w:val="24"/>
                <w:szCs w:val="24"/>
              </w:rPr>
            </w:pPr>
          </w:p>
        </w:tc>
        <w:tc>
          <w:tcPr>
            <w:tcW w:w="1096" w:type="dxa"/>
            <w:vAlign w:val="center"/>
          </w:tcPr>
          <w:p>
            <w:pPr>
              <w:widowControl/>
              <w:rPr>
                <w:color w:val="000000"/>
                <w:kern w:val="0"/>
                <w:sz w:val="24"/>
                <w:szCs w:val="24"/>
              </w:rPr>
            </w:pPr>
            <w:r>
              <w:rPr>
                <w:rFonts w:hint="eastAsia" w:ascii="宋体" w:cs="宋体"/>
                <w:bCs/>
                <w:color w:val="000000"/>
                <w:kern w:val="0"/>
                <w:sz w:val="24"/>
              </w:rPr>
              <w:t>7.进出口记录</w:t>
            </w:r>
          </w:p>
        </w:tc>
        <w:tc>
          <w:tcPr>
            <w:tcW w:w="2836" w:type="dxa"/>
            <w:vAlign w:val="center"/>
          </w:tcPr>
          <w:p>
            <w:pPr>
              <w:rPr>
                <w:color w:val="000000"/>
              </w:rPr>
            </w:pPr>
            <w:r>
              <w:rPr>
                <w:rFonts w:hint="eastAsia" w:ascii="宋体" w:cs="宋体"/>
                <w:color w:val="000000"/>
                <w:kern w:val="0"/>
                <w:szCs w:val="21"/>
              </w:rPr>
              <w:t>（19）1年内有进出口活动或者为进出口活动提供相关服务。</w:t>
            </w:r>
          </w:p>
        </w:tc>
        <w:tc>
          <w:tcPr>
            <w:tcW w:w="3705" w:type="dxa"/>
            <w:vAlign w:val="center"/>
          </w:tcPr>
          <w:p>
            <w:pPr>
              <w:widowControl/>
              <w:jc w:val="left"/>
              <w:rPr>
                <w:color w:val="FF0000"/>
                <w:kern w:val="0"/>
                <w:sz w:val="24"/>
                <w:szCs w:val="24"/>
              </w:rPr>
            </w:pPr>
          </w:p>
        </w:tc>
        <w:tc>
          <w:tcPr>
            <w:tcW w:w="3909" w:type="dxa"/>
            <w:vAlign w:val="center"/>
          </w:tcPr>
          <w:p>
            <w:pPr>
              <w:widowControl/>
              <w:jc w:val="left"/>
              <w:rPr>
                <w:kern w:val="0"/>
                <w:sz w:val="24"/>
                <w:szCs w:val="24"/>
              </w:rPr>
            </w:pPr>
          </w:p>
        </w:tc>
        <w:tc>
          <w:tcPr>
            <w:tcW w:w="3320" w:type="dxa"/>
            <w:gridSpan w:val="2"/>
            <w:vAlign w:val="center"/>
          </w:tcPr>
          <w:p>
            <w:pPr>
              <w:widowControl/>
              <w:jc w:val="left"/>
              <w:rPr>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976" w:type="dxa"/>
            <w:vMerge w:val="continue"/>
            <w:vAlign w:val="center"/>
          </w:tcPr>
          <w:p>
            <w:pPr>
              <w:rPr>
                <w:color w:val="000000"/>
              </w:rPr>
            </w:pPr>
          </w:p>
        </w:tc>
        <w:tc>
          <w:tcPr>
            <w:tcW w:w="1096" w:type="dxa"/>
            <w:vAlign w:val="center"/>
          </w:tcPr>
          <w:p>
            <w:pPr>
              <w:widowControl/>
              <w:rPr>
                <w:color w:val="000000"/>
                <w:kern w:val="0"/>
                <w:sz w:val="24"/>
                <w:szCs w:val="24"/>
              </w:rPr>
            </w:pPr>
            <w:r>
              <w:rPr>
                <w:rFonts w:hint="eastAsia" w:ascii="宋体" w:cs="宋体"/>
                <w:bCs/>
                <w:color w:val="000000"/>
                <w:sz w:val="24"/>
              </w:rPr>
              <w:t>8.税款缴纳</w:t>
            </w:r>
          </w:p>
        </w:tc>
        <w:tc>
          <w:tcPr>
            <w:tcW w:w="2836" w:type="dxa"/>
            <w:vAlign w:val="center"/>
          </w:tcPr>
          <w:p>
            <w:pPr>
              <w:rPr>
                <w:rFonts w:ascii="宋体" w:cs="宋体"/>
                <w:color w:val="000000"/>
                <w:kern w:val="0"/>
                <w:szCs w:val="21"/>
              </w:rPr>
            </w:pPr>
            <w:r>
              <w:rPr>
                <w:rFonts w:hint="eastAsia" w:ascii="宋体" w:cs="宋体"/>
                <w:color w:val="000000"/>
                <w:kern w:val="0"/>
                <w:szCs w:val="21"/>
              </w:rPr>
              <w:t>（20）</w:t>
            </w:r>
            <w:r>
              <w:rPr>
                <w:rFonts w:hint="eastAsia" w:ascii="宋体" w:cs="宋体"/>
                <w:color w:val="000000"/>
                <w:szCs w:val="21"/>
              </w:rPr>
              <w:t>认证期间，没有超过法定期限尚未缴纳海关要求缴纳的税款（包括滞纳金）、罚款（包括加处罚款）的情形。</w:t>
            </w:r>
          </w:p>
        </w:tc>
        <w:tc>
          <w:tcPr>
            <w:tcW w:w="3705" w:type="dxa"/>
            <w:vAlign w:val="center"/>
          </w:tcPr>
          <w:p>
            <w:pPr>
              <w:widowControl/>
              <w:jc w:val="left"/>
              <w:rPr>
                <w:kern w:val="0"/>
                <w:sz w:val="24"/>
                <w:szCs w:val="24"/>
              </w:rPr>
            </w:pPr>
          </w:p>
        </w:tc>
        <w:tc>
          <w:tcPr>
            <w:tcW w:w="3909" w:type="dxa"/>
            <w:vAlign w:val="center"/>
          </w:tcPr>
          <w:p>
            <w:pPr>
              <w:widowControl/>
              <w:jc w:val="left"/>
              <w:rPr>
                <w:kern w:val="0"/>
                <w:sz w:val="24"/>
                <w:szCs w:val="24"/>
              </w:rPr>
            </w:pPr>
          </w:p>
        </w:tc>
        <w:tc>
          <w:tcPr>
            <w:tcW w:w="3320" w:type="dxa"/>
            <w:gridSpan w:val="2"/>
            <w:vAlign w:val="center"/>
          </w:tcPr>
          <w:p>
            <w:pPr>
              <w:widowControl/>
              <w:jc w:val="left"/>
              <w:rPr>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trPr>
        <w:tc>
          <w:tcPr>
            <w:tcW w:w="976" w:type="dxa"/>
            <w:vMerge w:val="restart"/>
            <w:vAlign w:val="center"/>
          </w:tcPr>
          <w:p>
            <w:pPr>
              <w:pStyle w:val="17"/>
              <w:rPr>
                <w:rFonts w:hint="eastAsia"/>
                <w:color w:val="000000"/>
                <w:sz w:val="24"/>
                <w:szCs w:val="24"/>
              </w:rPr>
            </w:pPr>
          </w:p>
        </w:tc>
        <w:tc>
          <w:tcPr>
            <w:tcW w:w="1096" w:type="dxa"/>
            <w:vMerge w:val="restart"/>
            <w:vAlign w:val="center"/>
          </w:tcPr>
          <w:p>
            <w:pPr>
              <w:pStyle w:val="18"/>
              <w:widowControl/>
              <w:rPr>
                <w:iCs/>
                <w:color w:val="000000"/>
                <w:kern w:val="0"/>
                <w:sz w:val="24"/>
                <w:szCs w:val="24"/>
              </w:rPr>
            </w:pPr>
            <w:r>
              <w:rPr>
                <w:rFonts w:hint="eastAsia" w:ascii="宋体" w:cs="宋体"/>
                <w:bCs/>
                <w:color w:val="000000"/>
                <w:sz w:val="24"/>
              </w:rPr>
              <w:t>9.管理要求</w:t>
            </w:r>
          </w:p>
        </w:tc>
        <w:tc>
          <w:tcPr>
            <w:tcW w:w="2836" w:type="dxa"/>
            <w:vAlign w:val="center"/>
          </w:tcPr>
          <w:p>
            <w:pPr>
              <w:widowControl/>
              <w:rPr>
                <w:color w:val="000000"/>
              </w:rPr>
            </w:pPr>
            <w:r>
              <w:rPr>
                <w:rFonts w:hint="eastAsia" w:ascii="宋体" w:cs="宋体"/>
                <w:color w:val="000000"/>
                <w:kern w:val="0"/>
                <w:szCs w:val="21"/>
              </w:rPr>
              <w:t>1年内企业无以下情形：</w:t>
            </w:r>
          </w:p>
        </w:tc>
        <w:tc>
          <w:tcPr>
            <w:tcW w:w="3705" w:type="dxa"/>
            <w:vMerge w:val="restart"/>
            <w:vAlign w:val="center"/>
          </w:tcPr>
          <w:p>
            <w:pPr>
              <w:widowControl/>
              <w:jc w:val="left"/>
              <w:rPr>
                <w:kern w:val="0"/>
                <w:sz w:val="24"/>
                <w:szCs w:val="24"/>
              </w:rPr>
            </w:pPr>
          </w:p>
        </w:tc>
        <w:tc>
          <w:tcPr>
            <w:tcW w:w="3909" w:type="dxa"/>
            <w:vMerge w:val="restart"/>
            <w:vAlign w:val="center"/>
          </w:tcPr>
          <w:p>
            <w:pPr>
              <w:widowControl/>
              <w:jc w:val="left"/>
              <w:rPr>
                <w:kern w:val="0"/>
                <w:sz w:val="24"/>
                <w:szCs w:val="24"/>
              </w:rPr>
            </w:pPr>
          </w:p>
        </w:tc>
        <w:tc>
          <w:tcPr>
            <w:tcW w:w="3320" w:type="dxa"/>
            <w:gridSpan w:val="2"/>
            <w:vMerge w:val="restart"/>
            <w:vAlign w:val="center"/>
          </w:tcPr>
          <w:p>
            <w:pPr>
              <w:widowControl/>
              <w:jc w:val="left"/>
              <w:rPr>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976" w:type="dxa"/>
            <w:vMerge w:val="continue"/>
            <w:vAlign w:val="center"/>
          </w:tcPr>
          <w:p>
            <w:pPr>
              <w:rPr>
                <w:color w:val="000000"/>
              </w:rPr>
            </w:pPr>
          </w:p>
        </w:tc>
        <w:tc>
          <w:tcPr>
            <w:tcW w:w="1096" w:type="dxa"/>
            <w:vMerge w:val="continue"/>
            <w:vAlign w:val="center"/>
          </w:tcPr>
          <w:p>
            <w:pPr>
              <w:rPr>
                <w:color w:val="000000"/>
              </w:rPr>
            </w:pPr>
          </w:p>
        </w:tc>
        <w:tc>
          <w:tcPr>
            <w:tcW w:w="2836" w:type="dxa"/>
            <w:vAlign w:val="center"/>
          </w:tcPr>
          <w:p>
            <w:pPr>
              <w:rPr>
                <w:rFonts w:ascii="宋体"/>
                <w:color w:val="000000"/>
              </w:rPr>
            </w:pPr>
            <w:r>
              <w:rPr>
                <w:rFonts w:hint="eastAsia" w:ascii="宋体" w:cs="宋体"/>
                <w:color w:val="000000"/>
                <w:kern w:val="0"/>
                <w:szCs w:val="21"/>
              </w:rPr>
              <w:t>（21）向海关人员行贿。</w:t>
            </w:r>
          </w:p>
        </w:tc>
        <w:tc>
          <w:tcPr>
            <w:tcW w:w="3705" w:type="dxa"/>
            <w:vMerge w:val="continue"/>
            <w:vAlign w:val="center"/>
          </w:tcPr>
          <w:p/>
        </w:tc>
        <w:tc>
          <w:tcPr>
            <w:tcW w:w="3909" w:type="dxa"/>
            <w:vMerge w:val="continue"/>
            <w:vAlign w:val="center"/>
          </w:tcPr>
          <w:p/>
        </w:tc>
        <w:tc>
          <w:tcPr>
            <w:tcW w:w="3320" w:type="dxa"/>
            <w:gridSpan w:val="2"/>
            <w:vMerge w:val="continue"/>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976" w:type="dxa"/>
            <w:vMerge w:val="continue"/>
            <w:vAlign w:val="center"/>
          </w:tcPr>
          <w:p>
            <w:pPr>
              <w:rPr>
                <w:color w:val="000000"/>
              </w:rPr>
            </w:pPr>
          </w:p>
        </w:tc>
        <w:tc>
          <w:tcPr>
            <w:tcW w:w="1096" w:type="dxa"/>
            <w:vMerge w:val="continue"/>
            <w:vAlign w:val="center"/>
          </w:tcPr>
          <w:p>
            <w:pPr>
              <w:rPr>
                <w:color w:val="000000"/>
              </w:rPr>
            </w:pPr>
          </w:p>
        </w:tc>
        <w:tc>
          <w:tcPr>
            <w:tcW w:w="2836" w:type="dxa"/>
            <w:vAlign w:val="center"/>
          </w:tcPr>
          <w:p>
            <w:pPr>
              <w:widowControl/>
              <w:rPr>
                <w:rFonts w:ascii="宋体"/>
                <w:color w:val="000000"/>
                <w:kern w:val="0"/>
              </w:rPr>
            </w:pPr>
            <w:r>
              <w:rPr>
                <w:rFonts w:hint="eastAsia" w:ascii="宋体" w:cs="宋体"/>
                <w:color w:val="000000"/>
                <w:kern w:val="0"/>
                <w:szCs w:val="21"/>
              </w:rPr>
              <w:t>（22）向海关提供虚假情况或者隐瞒事实。</w:t>
            </w:r>
          </w:p>
        </w:tc>
        <w:tc>
          <w:tcPr>
            <w:tcW w:w="3705" w:type="dxa"/>
            <w:vMerge w:val="continue"/>
            <w:vAlign w:val="center"/>
          </w:tcPr>
          <w:p/>
        </w:tc>
        <w:tc>
          <w:tcPr>
            <w:tcW w:w="3909" w:type="dxa"/>
            <w:vMerge w:val="continue"/>
            <w:vAlign w:val="center"/>
          </w:tcPr>
          <w:p/>
        </w:tc>
        <w:tc>
          <w:tcPr>
            <w:tcW w:w="3320" w:type="dxa"/>
            <w:gridSpan w:val="2"/>
            <w:vMerge w:val="continue"/>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976" w:type="dxa"/>
            <w:vMerge w:val="continue"/>
            <w:vAlign w:val="center"/>
          </w:tcPr>
          <w:p>
            <w:pPr>
              <w:rPr>
                <w:color w:val="000000"/>
              </w:rPr>
            </w:pPr>
          </w:p>
        </w:tc>
        <w:tc>
          <w:tcPr>
            <w:tcW w:w="1096" w:type="dxa"/>
            <w:vMerge w:val="continue"/>
            <w:vAlign w:val="center"/>
          </w:tcPr>
          <w:p>
            <w:pPr>
              <w:rPr>
                <w:color w:val="000000"/>
              </w:rPr>
            </w:pPr>
          </w:p>
        </w:tc>
        <w:tc>
          <w:tcPr>
            <w:tcW w:w="2836" w:type="dxa"/>
            <w:vAlign w:val="center"/>
          </w:tcPr>
          <w:p>
            <w:pPr>
              <w:widowControl/>
              <w:rPr>
                <w:rFonts w:ascii="宋体"/>
                <w:color w:val="000000"/>
                <w:kern w:val="0"/>
              </w:rPr>
            </w:pPr>
            <w:r>
              <w:rPr>
                <w:rFonts w:hint="eastAsia" w:ascii="宋体" w:cs="宋体"/>
                <w:color w:val="000000"/>
                <w:kern w:val="0"/>
                <w:szCs w:val="21"/>
              </w:rPr>
              <w:t>（23）拒不配合海关执法。</w:t>
            </w:r>
          </w:p>
        </w:tc>
        <w:tc>
          <w:tcPr>
            <w:tcW w:w="3705" w:type="dxa"/>
            <w:vMerge w:val="continue"/>
            <w:vAlign w:val="center"/>
          </w:tcPr>
          <w:p/>
        </w:tc>
        <w:tc>
          <w:tcPr>
            <w:tcW w:w="3909" w:type="dxa"/>
            <w:vMerge w:val="continue"/>
            <w:vAlign w:val="center"/>
          </w:tcPr>
          <w:p/>
        </w:tc>
        <w:tc>
          <w:tcPr>
            <w:tcW w:w="3320" w:type="dxa"/>
            <w:gridSpan w:val="2"/>
            <w:vMerge w:val="continue"/>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976" w:type="dxa"/>
            <w:vMerge w:val="continue"/>
            <w:vAlign w:val="center"/>
          </w:tcPr>
          <w:p>
            <w:pPr>
              <w:rPr>
                <w:color w:val="000000"/>
              </w:rPr>
            </w:pPr>
          </w:p>
        </w:tc>
        <w:tc>
          <w:tcPr>
            <w:tcW w:w="1096" w:type="dxa"/>
            <w:vMerge w:val="continue"/>
            <w:vAlign w:val="center"/>
          </w:tcPr>
          <w:p>
            <w:pPr>
              <w:rPr>
                <w:color w:val="000000"/>
              </w:rPr>
            </w:pPr>
          </w:p>
        </w:tc>
        <w:tc>
          <w:tcPr>
            <w:tcW w:w="2836" w:type="dxa"/>
            <w:vAlign w:val="center"/>
          </w:tcPr>
          <w:p>
            <w:pPr>
              <w:widowControl/>
              <w:rPr>
                <w:rFonts w:ascii="宋体"/>
                <w:color w:val="000000"/>
                <w:kern w:val="0"/>
              </w:rPr>
            </w:pPr>
            <w:r>
              <w:rPr>
                <w:rFonts w:hint="eastAsia" w:ascii="宋体" w:cs="宋体"/>
                <w:color w:val="000000"/>
                <w:kern w:val="0"/>
                <w:szCs w:val="21"/>
              </w:rPr>
              <w:t>（24）转移、隐匿、篡改、毁弃报关单等进出口单证以及与进出口直接相关的其他资料。</w:t>
            </w:r>
          </w:p>
        </w:tc>
        <w:tc>
          <w:tcPr>
            <w:tcW w:w="3705" w:type="dxa"/>
            <w:vMerge w:val="continue"/>
            <w:vAlign w:val="center"/>
          </w:tcPr>
          <w:p/>
        </w:tc>
        <w:tc>
          <w:tcPr>
            <w:tcW w:w="3909" w:type="dxa"/>
            <w:vMerge w:val="continue"/>
            <w:vAlign w:val="center"/>
          </w:tcPr>
          <w:p/>
        </w:tc>
        <w:tc>
          <w:tcPr>
            <w:tcW w:w="3320" w:type="dxa"/>
            <w:gridSpan w:val="2"/>
            <w:vMerge w:val="continue"/>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976" w:type="dxa"/>
            <w:vMerge w:val="continue"/>
            <w:vAlign w:val="center"/>
          </w:tcPr>
          <w:p>
            <w:pPr>
              <w:rPr>
                <w:color w:val="000000"/>
              </w:rPr>
            </w:pPr>
          </w:p>
        </w:tc>
        <w:tc>
          <w:tcPr>
            <w:tcW w:w="1096" w:type="dxa"/>
            <w:vMerge w:val="continue"/>
            <w:vAlign w:val="center"/>
          </w:tcPr>
          <w:p>
            <w:pPr>
              <w:rPr>
                <w:color w:val="000000"/>
              </w:rPr>
            </w:pPr>
          </w:p>
        </w:tc>
        <w:tc>
          <w:tcPr>
            <w:tcW w:w="2836" w:type="dxa"/>
            <w:vAlign w:val="center"/>
          </w:tcPr>
          <w:p>
            <w:pPr>
              <w:widowControl/>
              <w:rPr>
                <w:rFonts w:ascii="宋体"/>
                <w:color w:val="000000"/>
                <w:kern w:val="0"/>
              </w:rPr>
            </w:pPr>
            <w:r>
              <w:rPr>
                <w:rFonts w:hint="eastAsia" w:ascii="宋体" w:cs="宋体"/>
                <w:color w:val="000000"/>
                <w:kern w:val="0"/>
                <w:szCs w:val="21"/>
              </w:rPr>
              <w:t>（25）拒绝、拖延向海关提供账簿、单证或海关归类、价格、原产地、减免税核查所需资料等有关材料。</w:t>
            </w:r>
          </w:p>
        </w:tc>
        <w:tc>
          <w:tcPr>
            <w:tcW w:w="3705" w:type="dxa"/>
            <w:vMerge w:val="continue"/>
            <w:vAlign w:val="center"/>
          </w:tcPr>
          <w:p/>
        </w:tc>
        <w:tc>
          <w:tcPr>
            <w:tcW w:w="3909" w:type="dxa"/>
            <w:vMerge w:val="continue"/>
            <w:vAlign w:val="center"/>
          </w:tcPr>
          <w:p/>
        </w:tc>
        <w:tc>
          <w:tcPr>
            <w:tcW w:w="3320" w:type="dxa"/>
            <w:gridSpan w:val="2"/>
            <w:vMerge w:val="continue"/>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976" w:type="dxa"/>
            <w:vMerge w:val="continue"/>
            <w:vAlign w:val="center"/>
          </w:tcPr>
          <w:p>
            <w:pPr>
              <w:rPr>
                <w:color w:val="000000"/>
              </w:rPr>
            </w:pPr>
          </w:p>
        </w:tc>
        <w:tc>
          <w:tcPr>
            <w:tcW w:w="1096" w:type="dxa"/>
            <w:vMerge w:val="continue"/>
            <w:vAlign w:val="center"/>
          </w:tcPr>
          <w:p>
            <w:pPr>
              <w:rPr>
                <w:color w:val="000000"/>
              </w:rPr>
            </w:pPr>
          </w:p>
        </w:tc>
        <w:tc>
          <w:tcPr>
            <w:tcW w:w="2836" w:type="dxa"/>
            <w:vAlign w:val="center"/>
          </w:tcPr>
          <w:p>
            <w:pPr>
              <w:widowControl/>
              <w:rPr>
                <w:rFonts w:ascii="宋体"/>
                <w:color w:val="000000"/>
                <w:kern w:val="0"/>
              </w:rPr>
            </w:pPr>
            <w:r>
              <w:rPr>
                <w:rFonts w:hint="eastAsia" w:ascii="宋体" w:cs="宋体"/>
                <w:color w:val="000000"/>
                <w:kern w:val="0"/>
                <w:szCs w:val="21"/>
              </w:rPr>
              <w:t>（26）被海关责令限期改正，但逾期不改正。</w:t>
            </w:r>
          </w:p>
        </w:tc>
        <w:tc>
          <w:tcPr>
            <w:tcW w:w="3705" w:type="dxa"/>
            <w:vMerge w:val="continue"/>
            <w:vAlign w:val="center"/>
          </w:tcPr>
          <w:p/>
        </w:tc>
        <w:tc>
          <w:tcPr>
            <w:tcW w:w="3909" w:type="dxa"/>
            <w:vMerge w:val="continue"/>
            <w:vAlign w:val="center"/>
          </w:tcPr>
          <w:p/>
        </w:tc>
        <w:tc>
          <w:tcPr>
            <w:tcW w:w="3320" w:type="dxa"/>
            <w:gridSpan w:val="2"/>
            <w:vMerge w:val="continue"/>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976" w:type="dxa"/>
            <w:vMerge w:val="continue"/>
            <w:vAlign w:val="center"/>
          </w:tcPr>
          <w:p>
            <w:pPr>
              <w:rPr>
                <w:color w:val="000000"/>
              </w:rPr>
            </w:pPr>
          </w:p>
        </w:tc>
        <w:tc>
          <w:tcPr>
            <w:tcW w:w="1096" w:type="dxa"/>
            <w:vMerge w:val="continue"/>
            <w:vAlign w:val="center"/>
          </w:tcPr>
          <w:p>
            <w:pPr>
              <w:rPr>
                <w:color w:val="000000"/>
              </w:rPr>
            </w:pPr>
          </w:p>
        </w:tc>
        <w:tc>
          <w:tcPr>
            <w:tcW w:w="2836" w:type="dxa"/>
            <w:vAlign w:val="center"/>
          </w:tcPr>
          <w:p>
            <w:pPr>
              <w:widowControl/>
              <w:rPr>
                <w:rFonts w:ascii="宋体"/>
                <w:color w:val="000000"/>
                <w:kern w:val="0"/>
              </w:rPr>
            </w:pPr>
            <w:r>
              <w:rPr>
                <w:rFonts w:hint="eastAsia" w:ascii="宋体" w:cs="宋体"/>
                <w:color w:val="000000"/>
                <w:kern w:val="0"/>
                <w:szCs w:val="21"/>
              </w:rPr>
              <w:t>（27）由海关要求承担技术处理、退运、销毁等义务，但逾期不履行。</w:t>
            </w:r>
          </w:p>
        </w:tc>
        <w:tc>
          <w:tcPr>
            <w:tcW w:w="3705" w:type="dxa"/>
            <w:vMerge w:val="continue"/>
            <w:vAlign w:val="center"/>
          </w:tcPr>
          <w:p/>
        </w:tc>
        <w:tc>
          <w:tcPr>
            <w:tcW w:w="3909" w:type="dxa"/>
            <w:vMerge w:val="continue"/>
            <w:vAlign w:val="center"/>
          </w:tcPr>
          <w:p/>
        </w:tc>
        <w:tc>
          <w:tcPr>
            <w:tcW w:w="3320" w:type="dxa"/>
            <w:gridSpan w:val="2"/>
            <w:vMerge w:val="continue"/>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976" w:type="dxa"/>
            <w:vMerge w:val="continue"/>
            <w:vAlign w:val="center"/>
          </w:tcPr>
          <w:p>
            <w:pPr>
              <w:rPr>
                <w:color w:val="000000"/>
              </w:rPr>
            </w:pPr>
          </w:p>
        </w:tc>
        <w:tc>
          <w:tcPr>
            <w:tcW w:w="1096" w:type="dxa"/>
            <w:vMerge w:val="continue"/>
            <w:vAlign w:val="center"/>
          </w:tcPr>
          <w:p>
            <w:pPr>
              <w:rPr>
                <w:color w:val="000000"/>
              </w:rPr>
            </w:pPr>
          </w:p>
        </w:tc>
        <w:tc>
          <w:tcPr>
            <w:tcW w:w="2836" w:type="dxa"/>
            <w:vAlign w:val="center"/>
          </w:tcPr>
          <w:p>
            <w:pPr>
              <w:widowControl/>
              <w:rPr>
                <w:rFonts w:ascii="宋体"/>
                <w:color w:val="000000"/>
                <w:kern w:val="0"/>
              </w:rPr>
            </w:pPr>
            <w:r>
              <w:rPr>
                <w:rFonts w:hint="eastAsia" w:ascii="宋体" w:cs="宋体"/>
                <w:color w:val="000000"/>
                <w:kern w:val="0"/>
                <w:szCs w:val="21"/>
              </w:rPr>
              <w:t>（28）报关单涉税要素申报不规范。</w:t>
            </w:r>
          </w:p>
        </w:tc>
        <w:tc>
          <w:tcPr>
            <w:tcW w:w="3705" w:type="dxa"/>
            <w:vMerge w:val="continue"/>
            <w:vAlign w:val="center"/>
          </w:tcPr>
          <w:p/>
        </w:tc>
        <w:tc>
          <w:tcPr>
            <w:tcW w:w="3909" w:type="dxa"/>
            <w:vMerge w:val="continue"/>
            <w:vAlign w:val="center"/>
          </w:tcPr>
          <w:p/>
        </w:tc>
        <w:tc>
          <w:tcPr>
            <w:tcW w:w="3320" w:type="dxa"/>
            <w:gridSpan w:val="2"/>
            <w:vMerge w:val="continue"/>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976" w:type="dxa"/>
            <w:vMerge w:val="continue"/>
            <w:vAlign w:val="center"/>
          </w:tcPr>
          <w:p>
            <w:pPr>
              <w:rPr>
                <w:color w:val="000000"/>
              </w:rPr>
            </w:pPr>
          </w:p>
        </w:tc>
        <w:tc>
          <w:tcPr>
            <w:tcW w:w="1096" w:type="dxa"/>
            <w:vMerge w:val="continue"/>
            <w:vAlign w:val="center"/>
          </w:tcPr>
          <w:p>
            <w:pPr>
              <w:rPr>
                <w:color w:val="000000"/>
              </w:rPr>
            </w:pPr>
          </w:p>
        </w:tc>
        <w:tc>
          <w:tcPr>
            <w:tcW w:w="2836" w:type="dxa"/>
            <w:vAlign w:val="center"/>
          </w:tcPr>
          <w:p>
            <w:pPr>
              <w:widowControl/>
              <w:rPr>
                <w:rFonts w:ascii="宋体" w:cs="宋体"/>
                <w:color w:val="000000"/>
                <w:kern w:val="0"/>
              </w:rPr>
            </w:pPr>
            <w:r>
              <w:rPr>
                <w:rFonts w:hint="eastAsia" w:ascii="宋体" w:cs="宋体"/>
                <w:color w:val="000000"/>
                <w:kern w:val="0"/>
                <w:szCs w:val="21"/>
              </w:rPr>
              <w:t>（29）涉及危险品等海关重点关注的高风险商品伪瞒报、夹藏夹带被查发。</w:t>
            </w:r>
          </w:p>
        </w:tc>
        <w:tc>
          <w:tcPr>
            <w:tcW w:w="3705" w:type="dxa"/>
            <w:vMerge w:val="continue"/>
            <w:vAlign w:val="center"/>
          </w:tcPr>
          <w:p/>
        </w:tc>
        <w:tc>
          <w:tcPr>
            <w:tcW w:w="3909" w:type="dxa"/>
            <w:vMerge w:val="continue"/>
            <w:vAlign w:val="center"/>
          </w:tcPr>
          <w:p/>
        </w:tc>
        <w:tc>
          <w:tcPr>
            <w:tcW w:w="3320" w:type="dxa"/>
            <w:gridSpan w:val="2"/>
            <w:vMerge w:val="continue"/>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976" w:type="dxa"/>
            <w:vAlign w:val="center"/>
          </w:tcPr>
          <w:p>
            <w:pPr>
              <w:widowControl/>
              <w:rPr>
                <w:rFonts w:hint="eastAsia"/>
                <w:color w:val="000000"/>
                <w:kern w:val="0"/>
                <w:sz w:val="24"/>
                <w:szCs w:val="24"/>
              </w:rPr>
            </w:pPr>
          </w:p>
        </w:tc>
        <w:tc>
          <w:tcPr>
            <w:tcW w:w="1096" w:type="dxa"/>
            <w:vAlign w:val="center"/>
          </w:tcPr>
          <w:p>
            <w:pPr>
              <w:widowControl/>
              <w:jc w:val="center"/>
              <w:rPr>
                <w:rFonts w:ascii="宋体"/>
                <w:color w:val="000000"/>
                <w:kern w:val="0"/>
              </w:rPr>
            </w:pPr>
            <w:r>
              <w:rPr>
                <w:rFonts w:hint="eastAsia" w:ascii="宋体" w:cs="宋体"/>
                <w:bCs/>
                <w:color w:val="000000"/>
                <w:kern w:val="0"/>
                <w:sz w:val="24"/>
              </w:rPr>
              <w:t>10.外部信用</w:t>
            </w:r>
          </w:p>
        </w:tc>
        <w:tc>
          <w:tcPr>
            <w:tcW w:w="2836" w:type="dxa"/>
            <w:vAlign w:val="center"/>
          </w:tcPr>
          <w:p>
            <w:pPr>
              <w:widowControl/>
              <w:rPr>
                <w:rFonts w:ascii="宋体"/>
                <w:color w:val="000000"/>
                <w:kern w:val="0"/>
              </w:rPr>
            </w:pPr>
            <w:r>
              <w:rPr>
                <w:rFonts w:hint="eastAsia" w:ascii="宋体" w:cs="宋体"/>
                <w:color w:val="000000"/>
                <w:kern w:val="0"/>
                <w:szCs w:val="21"/>
              </w:rPr>
              <w:t>（30）企业和</w:t>
            </w:r>
            <w:r>
              <w:rPr>
                <w:rFonts w:hint="eastAsia" w:ascii="宋体" w:cs="宋体"/>
                <w:color w:val="000000"/>
                <w:szCs w:val="21"/>
              </w:rPr>
              <w:t>企业法定代表人、主要负责人、财务负责人、关务负责人1</w:t>
            </w:r>
            <w:r>
              <w:rPr>
                <w:rFonts w:hint="eastAsia" w:ascii="宋体" w:cs="宋体"/>
                <w:color w:val="000000"/>
                <w:kern w:val="0"/>
                <w:szCs w:val="21"/>
              </w:rPr>
              <w:t>年内未被列入国家失信联合惩戒名单。</w:t>
            </w:r>
          </w:p>
        </w:tc>
        <w:tc>
          <w:tcPr>
            <w:tcW w:w="3705" w:type="dxa"/>
            <w:vAlign w:val="center"/>
          </w:tcPr>
          <w:p>
            <w:pPr>
              <w:widowControl/>
              <w:jc w:val="left"/>
              <w:rPr>
                <w:color w:val="FF0000"/>
                <w:kern w:val="0"/>
                <w:sz w:val="24"/>
                <w:szCs w:val="24"/>
              </w:rPr>
            </w:pPr>
          </w:p>
        </w:tc>
        <w:tc>
          <w:tcPr>
            <w:tcW w:w="3909" w:type="dxa"/>
            <w:vAlign w:val="center"/>
          </w:tcPr>
          <w:p>
            <w:pPr>
              <w:widowControl/>
              <w:jc w:val="left"/>
              <w:rPr>
                <w:color w:val="000000"/>
                <w:kern w:val="0"/>
                <w:szCs w:val="21"/>
              </w:rPr>
            </w:pPr>
          </w:p>
        </w:tc>
        <w:tc>
          <w:tcPr>
            <w:tcW w:w="3320" w:type="dxa"/>
            <w:gridSpan w:val="2"/>
            <w:vAlign w:val="center"/>
          </w:tcPr>
          <w:p>
            <w:pPr>
              <w:jc w:val="left"/>
              <w:rPr>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939" w:type="dxa"/>
            <w:gridSpan w:val="6"/>
            <w:vAlign w:val="center"/>
          </w:tcPr>
          <w:p>
            <w:pPr>
              <w:widowControl/>
              <w:spacing w:line="600" w:lineRule="auto"/>
              <w:jc w:val="left"/>
              <w:rPr>
                <w:b/>
                <w:kern w:val="0"/>
                <w:sz w:val="24"/>
                <w:szCs w:val="24"/>
              </w:rPr>
            </w:pPr>
            <w:r>
              <w:rPr>
                <w:rFonts w:hint="eastAsia"/>
                <w:b/>
                <w:bCs/>
                <w:color w:val="000000"/>
                <w:kern w:val="0"/>
                <w:sz w:val="24"/>
                <w:szCs w:val="24"/>
              </w:rPr>
              <w:t>四、贸易安全标准</w:t>
            </w:r>
          </w:p>
        </w:tc>
        <w:tc>
          <w:tcPr>
            <w:tcW w:w="903" w:type="dxa"/>
            <w:vAlign w:val="center"/>
          </w:tcPr>
          <w:p>
            <w:pPr>
              <w:widowControl/>
              <w:jc w:val="center"/>
              <w:rPr>
                <w:b/>
                <w:kern w:val="0"/>
                <w:sz w:val="24"/>
                <w:szCs w:val="24"/>
              </w:rPr>
            </w:pPr>
            <w:r>
              <w:rPr>
                <w:rFonts w:hint="eastAsia"/>
                <w:b/>
                <w:kern w:val="0"/>
                <w:sz w:val="24"/>
                <w:szCs w:val="24"/>
              </w:rPr>
              <w:t>评分情况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976" w:type="dxa"/>
            <w:vMerge w:val="restart"/>
            <w:vAlign w:val="center"/>
          </w:tcPr>
          <w:p>
            <w:pPr>
              <w:widowControl/>
              <w:rPr>
                <w:rFonts w:hint="eastAsia"/>
                <w:color w:val="000000"/>
                <w:kern w:val="0"/>
                <w:sz w:val="24"/>
                <w:szCs w:val="24"/>
              </w:rPr>
            </w:pPr>
          </w:p>
        </w:tc>
        <w:tc>
          <w:tcPr>
            <w:tcW w:w="1096" w:type="dxa"/>
            <w:vMerge w:val="restart"/>
            <w:vAlign w:val="center"/>
          </w:tcPr>
          <w:p>
            <w:pPr>
              <w:widowControl/>
              <w:jc w:val="center"/>
              <w:rPr>
                <w:color w:val="000000"/>
                <w:kern w:val="0"/>
                <w:sz w:val="24"/>
                <w:szCs w:val="24"/>
              </w:rPr>
            </w:pPr>
            <w:r>
              <w:rPr>
                <w:rFonts w:hint="eastAsia" w:ascii="宋体" w:cs="宋体"/>
                <w:bCs/>
                <w:color w:val="000000"/>
                <w:kern w:val="0"/>
                <w:sz w:val="24"/>
              </w:rPr>
              <w:t>11.经营场所安全</w:t>
            </w:r>
          </w:p>
        </w:tc>
        <w:tc>
          <w:tcPr>
            <w:tcW w:w="2836" w:type="dxa"/>
            <w:tcBorders>
              <w:bottom w:val="single" w:color="auto" w:sz="4" w:space="0"/>
            </w:tcBorders>
            <w:vAlign w:val="center"/>
          </w:tcPr>
          <w:p>
            <w:pPr>
              <w:widowControl/>
              <w:rPr>
                <w:rFonts w:ascii="宋体"/>
                <w:color w:val="000000"/>
                <w:kern w:val="0"/>
              </w:rPr>
            </w:pPr>
            <w:r>
              <w:rPr>
                <w:rFonts w:hint="eastAsia" w:ascii="宋体" w:cs="宋体"/>
                <w:color w:val="000000"/>
                <w:kern w:val="0"/>
                <w:szCs w:val="21"/>
              </w:rPr>
              <w:t>企业经营场所应当具有相应设施防止未载明货物和未经许可人员进入。根据企业经营特点和风险防范需要落实以下措施：</w:t>
            </w:r>
          </w:p>
        </w:tc>
        <w:tc>
          <w:tcPr>
            <w:tcW w:w="3705" w:type="dxa"/>
            <w:vMerge w:val="restart"/>
            <w:vAlign w:val="center"/>
          </w:tcPr>
          <w:p>
            <w:pPr>
              <w:widowControl/>
              <w:jc w:val="left"/>
              <w:rPr>
                <w:kern w:val="0"/>
                <w:sz w:val="24"/>
                <w:szCs w:val="24"/>
              </w:rPr>
            </w:pPr>
          </w:p>
        </w:tc>
        <w:tc>
          <w:tcPr>
            <w:tcW w:w="3909" w:type="dxa"/>
            <w:vMerge w:val="restart"/>
            <w:vAlign w:val="center"/>
          </w:tcPr>
          <w:p>
            <w:pPr>
              <w:widowControl/>
              <w:jc w:val="left"/>
              <w:rPr>
                <w:kern w:val="0"/>
                <w:sz w:val="24"/>
                <w:szCs w:val="24"/>
              </w:rPr>
            </w:pPr>
          </w:p>
        </w:tc>
        <w:tc>
          <w:tcPr>
            <w:tcW w:w="3320" w:type="dxa"/>
            <w:gridSpan w:val="2"/>
            <w:vMerge w:val="restart"/>
            <w:vAlign w:val="center"/>
          </w:tcPr>
          <w:p>
            <w:pPr>
              <w:jc w:val="center"/>
              <w:rPr>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976" w:type="dxa"/>
            <w:vMerge w:val="continue"/>
            <w:vAlign w:val="center"/>
          </w:tcPr>
          <w:p>
            <w:pPr>
              <w:rPr>
                <w:color w:val="000000"/>
              </w:rPr>
            </w:pPr>
          </w:p>
        </w:tc>
        <w:tc>
          <w:tcPr>
            <w:tcW w:w="1096" w:type="dxa"/>
            <w:vMerge w:val="continue"/>
            <w:vAlign w:val="center"/>
          </w:tcPr>
          <w:p>
            <w:pPr>
              <w:rPr>
                <w:color w:val="000000"/>
              </w:rPr>
            </w:pPr>
          </w:p>
        </w:tc>
        <w:tc>
          <w:tcPr>
            <w:tcW w:w="2836" w:type="dxa"/>
            <w:tcBorders>
              <w:top w:val="single" w:color="auto" w:sz="4" w:space="0"/>
              <w:bottom w:val="single" w:color="auto" w:sz="4" w:space="0"/>
            </w:tcBorders>
            <w:vAlign w:val="center"/>
          </w:tcPr>
          <w:p>
            <w:pPr>
              <w:widowControl/>
              <w:rPr>
                <w:rFonts w:ascii="宋体"/>
                <w:color w:val="000000"/>
                <w:kern w:val="0"/>
              </w:rPr>
            </w:pPr>
            <w:r>
              <w:rPr>
                <w:rFonts w:hint="eastAsia" w:ascii="宋体" w:cs="宋体"/>
                <w:color w:val="000000"/>
                <w:kern w:val="0"/>
                <w:szCs w:val="21"/>
              </w:rPr>
              <w:t>（31）建立并执行企业经营场所安全的管理制度。</w:t>
            </w:r>
          </w:p>
        </w:tc>
        <w:tc>
          <w:tcPr>
            <w:tcW w:w="3705" w:type="dxa"/>
            <w:vMerge w:val="continue"/>
            <w:vAlign w:val="center"/>
          </w:tcPr>
          <w:p/>
        </w:tc>
        <w:tc>
          <w:tcPr>
            <w:tcW w:w="3909" w:type="dxa"/>
            <w:vMerge w:val="continue"/>
            <w:vAlign w:val="center"/>
          </w:tcPr>
          <w:p/>
        </w:tc>
        <w:tc>
          <w:tcPr>
            <w:tcW w:w="3320" w:type="dxa"/>
            <w:gridSpan w:val="2"/>
            <w:vMerge w:val="continue"/>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976" w:type="dxa"/>
            <w:vMerge w:val="continue"/>
            <w:vAlign w:val="center"/>
          </w:tcPr>
          <w:p>
            <w:pPr>
              <w:rPr>
                <w:color w:val="000000"/>
              </w:rPr>
            </w:pPr>
          </w:p>
        </w:tc>
        <w:tc>
          <w:tcPr>
            <w:tcW w:w="1096" w:type="dxa"/>
            <w:vMerge w:val="continue"/>
            <w:vAlign w:val="center"/>
          </w:tcPr>
          <w:p>
            <w:pPr>
              <w:rPr>
                <w:i/>
                <w:color w:val="000000"/>
              </w:rPr>
            </w:pPr>
          </w:p>
        </w:tc>
        <w:tc>
          <w:tcPr>
            <w:tcW w:w="2836" w:type="dxa"/>
            <w:tcBorders>
              <w:top w:val="single" w:color="auto" w:sz="4" w:space="0"/>
            </w:tcBorders>
            <w:vAlign w:val="center"/>
          </w:tcPr>
          <w:p>
            <w:pPr>
              <w:widowControl/>
              <w:rPr>
                <w:rFonts w:ascii="宋体" w:cs="宋体"/>
                <w:i/>
                <w:iCs/>
                <w:color w:val="000000"/>
                <w:kern w:val="0"/>
              </w:rPr>
            </w:pPr>
            <w:r>
              <w:rPr>
                <w:rFonts w:hint="eastAsia" w:ascii="宋体" w:cs="宋体"/>
                <w:color w:val="000000"/>
                <w:kern w:val="0"/>
              </w:rPr>
              <w:t>（32）</w:t>
            </w:r>
            <w:r>
              <w:rPr>
                <w:rFonts w:hint="eastAsia" w:ascii="宋体" w:cs="宋体"/>
                <w:color w:val="000000"/>
              </w:rPr>
              <w:t>建筑物的建造方式能够防止非法闯入，定期对建筑物进行检查和修缮，保证其完整性、安全性。</w:t>
            </w:r>
          </w:p>
        </w:tc>
        <w:tc>
          <w:tcPr>
            <w:tcW w:w="3705" w:type="dxa"/>
            <w:vAlign w:val="center"/>
          </w:tcPr>
          <w:p/>
        </w:tc>
        <w:tc>
          <w:tcPr>
            <w:tcW w:w="3909" w:type="dxa"/>
            <w:vAlign w:val="center"/>
          </w:tcPr>
          <w:p>
            <w:pPr>
              <w:pStyle w:val="19"/>
              <w:ind w:left="360" w:firstLine="0" w:firstLineChars="0"/>
            </w:pPr>
          </w:p>
        </w:tc>
        <w:tc>
          <w:tcPr>
            <w:tcW w:w="3320" w:type="dxa"/>
            <w:gridSpan w:val="2"/>
            <w:vMerge w:val="continue"/>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976" w:type="dxa"/>
            <w:vMerge w:val="continue"/>
            <w:vAlign w:val="center"/>
          </w:tcPr>
          <w:p>
            <w:pPr>
              <w:rPr>
                <w:color w:val="000000"/>
              </w:rPr>
            </w:pPr>
          </w:p>
        </w:tc>
        <w:tc>
          <w:tcPr>
            <w:tcW w:w="1096" w:type="dxa"/>
            <w:vMerge w:val="continue"/>
            <w:vAlign w:val="center"/>
          </w:tcPr>
          <w:p>
            <w:pPr>
              <w:rPr>
                <w:i/>
                <w:color w:val="000000"/>
              </w:rPr>
            </w:pPr>
          </w:p>
        </w:tc>
        <w:tc>
          <w:tcPr>
            <w:tcW w:w="2836" w:type="dxa"/>
            <w:tcBorders>
              <w:top w:val="single" w:color="auto" w:sz="4" w:space="0"/>
            </w:tcBorders>
            <w:vAlign w:val="center"/>
          </w:tcPr>
          <w:p>
            <w:pPr>
              <w:widowControl/>
              <w:rPr>
                <w:rFonts w:ascii="宋体" w:cs="宋体"/>
                <w:i/>
                <w:iCs/>
                <w:color w:val="000000"/>
                <w:kern w:val="0"/>
              </w:rPr>
            </w:pPr>
            <w:r>
              <w:rPr>
                <w:rFonts w:hint="eastAsia" w:ascii="宋体" w:cs="宋体"/>
                <w:color w:val="000000"/>
                <w:kern w:val="0"/>
              </w:rPr>
              <w:t>（33）</w:t>
            </w:r>
            <w:r>
              <w:rPr>
                <w:rFonts w:hint="eastAsia" w:ascii="宋体" w:cs="宋体"/>
                <w:color w:val="000000"/>
              </w:rPr>
              <w:t>使用锁闭装置或者采取进出监控以及指纹、人脸识别等进出控制措施保护所有内外部窗户、大门和围墙的安全，实行钥匙发放与回收的登记管理或者进出权限的授予与取消管理。</w:t>
            </w:r>
          </w:p>
        </w:tc>
        <w:tc>
          <w:tcPr>
            <w:tcW w:w="3705" w:type="dxa"/>
            <w:vAlign w:val="center"/>
          </w:tcPr>
          <w:p/>
          <w:p/>
        </w:tc>
        <w:tc>
          <w:tcPr>
            <w:tcW w:w="3909" w:type="dxa"/>
            <w:vAlign w:val="center"/>
          </w:tcPr>
          <w:p>
            <w:pPr>
              <w:pStyle w:val="19"/>
              <w:ind w:left="360" w:firstLine="0" w:firstLineChars="0"/>
            </w:pPr>
          </w:p>
        </w:tc>
        <w:tc>
          <w:tcPr>
            <w:tcW w:w="3320" w:type="dxa"/>
            <w:gridSpan w:val="2"/>
            <w:vMerge w:val="continue"/>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976" w:type="dxa"/>
            <w:vMerge w:val="continue"/>
            <w:vAlign w:val="center"/>
          </w:tcPr>
          <w:p>
            <w:pPr>
              <w:rPr>
                <w:color w:val="000000"/>
              </w:rPr>
            </w:pPr>
          </w:p>
        </w:tc>
        <w:tc>
          <w:tcPr>
            <w:tcW w:w="1096" w:type="dxa"/>
            <w:vMerge w:val="continue"/>
            <w:vAlign w:val="center"/>
          </w:tcPr>
          <w:p>
            <w:pPr>
              <w:rPr>
                <w:i/>
                <w:color w:val="000000"/>
              </w:rPr>
            </w:pPr>
          </w:p>
        </w:tc>
        <w:tc>
          <w:tcPr>
            <w:tcW w:w="2836" w:type="dxa"/>
            <w:tcBorders>
              <w:top w:val="single" w:color="auto" w:sz="4" w:space="0"/>
            </w:tcBorders>
            <w:vAlign w:val="center"/>
          </w:tcPr>
          <w:p>
            <w:pPr>
              <w:widowControl/>
              <w:rPr>
                <w:rFonts w:ascii="宋体" w:cs="宋体"/>
                <w:i/>
                <w:iCs/>
                <w:color w:val="000000"/>
                <w:kern w:val="0"/>
              </w:rPr>
            </w:pPr>
            <w:r>
              <w:rPr>
                <w:rFonts w:hint="eastAsia" w:ascii="宋体" w:cs="宋体"/>
                <w:color w:val="000000"/>
                <w:kern w:val="0"/>
              </w:rPr>
              <w:t>（34）</w:t>
            </w:r>
            <w:r>
              <w:rPr>
                <w:rFonts w:hint="eastAsia" w:ascii="宋体" w:cs="宋体"/>
                <w:color w:val="000000"/>
              </w:rPr>
              <w:t>企业经营场所必须有充足的照明，包括以下重要敏感区域：出入口，货物、物品装卸和仓储区域，围墙周边及停车场/停车区域等。</w:t>
            </w:r>
          </w:p>
        </w:tc>
        <w:tc>
          <w:tcPr>
            <w:tcW w:w="3705" w:type="dxa"/>
            <w:vAlign w:val="center"/>
          </w:tcPr>
          <w:p>
            <w:pPr>
              <w:rPr>
                <w:color w:val="FF0000"/>
              </w:rPr>
            </w:pPr>
          </w:p>
        </w:tc>
        <w:tc>
          <w:tcPr>
            <w:tcW w:w="3909" w:type="dxa"/>
            <w:vAlign w:val="center"/>
          </w:tcPr>
          <w:p/>
        </w:tc>
        <w:tc>
          <w:tcPr>
            <w:tcW w:w="3320" w:type="dxa"/>
            <w:gridSpan w:val="2"/>
            <w:vMerge w:val="continue"/>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3" w:hRule="atLeast"/>
        </w:trPr>
        <w:tc>
          <w:tcPr>
            <w:tcW w:w="976" w:type="dxa"/>
            <w:vMerge w:val="continue"/>
            <w:vAlign w:val="center"/>
          </w:tcPr>
          <w:p>
            <w:pPr>
              <w:rPr>
                <w:color w:val="000000"/>
              </w:rPr>
            </w:pPr>
          </w:p>
        </w:tc>
        <w:tc>
          <w:tcPr>
            <w:tcW w:w="1096" w:type="dxa"/>
            <w:vMerge w:val="continue"/>
            <w:vAlign w:val="center"/>
          </w:tcPr>
          <w:p>
            <w:pPr>
              <w:rPr>
                <w:i/>
                <w:color w:val="000000"/>
              </w:rPr>
            </w:pPr>
          </w:p>
        </w:tc>
        <w:tc>
          <w:tcPr>
            <w:tcW w:w="2836" w:type="dxa"/>
            <w:tcBorders>
              <w:top w:val="single" w:color="auto" w:sz="4" w:space="0"/>
            </w:tcBorders>
            <w:vAlign w:val="center"/>
          </w:tcPr>
          <w:p>
            <w:pPr>
              <w:widowControl/>
              <w:rPr>
                <w:rFonts w:ascii="宋体" w:cs="宋体"/>
                <w:i/>
                <w:iCs/>
                <w:color w:val="000000"/>
                <w:kern w:val="0"/>
              </w:rPr>
            </w:pPr>
            <w:r>
              <w:rPr>
                <w:rFonts w:hint="eastAsia" w:ascii="宋体" w:cs="宋体"/>
                <w:color w:val="000000"/>
                <w:kern w:val="0"/>
              </w:rPr>
              <w:t>（35）车辆、人员</w:t>
            </w:r>
            <w:r>
              <w:rPr>
                <w:rFonts w:hint="eastAsia" w:ascii="宋体" w:cs="宋体"/>
                <w:color w:val="000000"/>
              </w:rPr>
              <w:t>进出企业的出入口配备人员驻守。仅允许经正确识别和授权的人员、车辆和货物进出。</w:t>
            </w:r>
          </w:p>
        </w:tc>
        <w:tc>
          <w:tcPr>
            <w:tcW w:w="3705" w:type="dxa"/>
            <w:vAlign w:val="center"/>
          </w:tcPr>
          <w:p/>
        </w:tc>
        <w:tc>
          <w:tcPr>
            <w:tcW w:w="3909" w:type="dxa"/>
            <w:vAlign w:val="center"/>
          </w:tcPr>
          <w:p/>
        </w:tc>
        <w:tc>
          <w:tcPr>
            <w:tcW w:w="3320" w:type="dxa"/>
            <w:gridSpan w:val="2"/>
            <w:vMerge w:val="continue"/>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976" w:type="dxa"/>
            <w:vMerge w:val="continue"/>
            <w:vAlign w:val="center"/>
          </w:tcPr>
          <w:p>
            <w:pPr>
              <w:widowControl/>
              <w:jc w:val="center"/>
              <w:rPr>
                <w:color w:val="000000"/>
                <w:kern w:val="0"/>
                <w:sz w:val="24"/>
                <w:szCs w:val="24"/>
              </w:rPr>
            </w:pPr>
          </w:p>
        </w:tc>
        <w:tc>
          <w:tcPr>
            <w:tcW w:w="1096" w:type="dxa"/>
            <w:vMerge w:val="continue"/>
            <w:vAlign w:val="center"/>
          </w:tcPr>
          <w:p>
            <w:pPr>
              <w:widowControl/>
              <w:jc w:val="center"/>
              <w:rPr>
                <w:color w:val="000000"/>
                <w:kern w:val="0"/>
                <w:sz w:val="24"/>
                <w:szCs w:val="24"/>
              </w:rPr>
            </w:pPr>
          </w:p>
        </w:tc>
        <w:tc>
          <w:tcPr>
            <w:tcW w:w="2836" w:type="dxa"/>
            <w:tcBorders>
              <w:bottom w:val="single" w:color="auto" w:sz="4" w:space="0"/>
            </w:tcBorders>
            <w:vAlign w:val="center"/>
          </w:tcPr>
          <w:p>
            <w:pPr>
              <w:widowControl/>
              <w:rPr>
                <w:rFonts w:ascii="宋体" w:cs="宋体"/>
                <w:i/>
                <w:iCs/>
                <w:color w:val="000000"/>
                <w:kern w:val="0"/>
              </w:rPr>
            </w:pPr>
            <w:r>
              <w:rPr>
                <w:rFonts w:hint="eastAsia" w:ascii="宋体" w:cs="宋体"/>
                <w:color w:val="000000"/>
                <w:kern w:val="0"/>
              </w:rPr>
              <w:t>（36）</w:t>
            </w:r>
            <w:r>
              <w:rPr>
                <w:rFonts w:hint="eastAsia" w:ascii="宋体" w:cs="宋体"/>
                <w:color w:val="000000"/>
              </w:rPr>
              <w:t>对单证存放区域和货物、物品装卸、仓储区域等实施受控进入管理，明确标识受控区域。对未经授权或者身份不明人员有质疑和报告的程序。</w:t>
            </w:r>
          </w:p>
        </w:tc>
        <w:tc>
          <w:tcPr>
            <w:tcW w:w="3705" w:type="dxa"/>
            <w:vAlign w:val="center"/>
          </w:tcPr>
          <w:p>
            <w:pPr>
              <w:jc w:val="left"/>
              <w:rPr>
                <w:rFonts w:ascii="宋体" w:hAnsi="宋体"/>
                <w:kern w:val="0"/>
                <w:szCs w:val="21"/>
              </w:rPr>
            </w:pPr>
          </w:p>
        </w:tc>
        <w:tc>
          <w:tcPr>
            <w:tcW w:w="3909" w:type="dxa"/>
            <w:vAlign w:val="center"/>
          </w:tcPr>
          <w:p>
            <w:pPr>
              <w:widowControl/>
              <w:jc w:val="left"/>
              <w:rPr>
                <w:kern w:val="0"/>
                <w:szCs w:val="21"/>
              </w:rPr>
            </w:pPr>
          </w:p>
          <w:p>
            <w:pPr>
              <w:widowControl/>
              <w:jc w:val="left"/>
              <w:rPr>
                <w:kern w:val="0"/>
                <w:szCs w:val="21"/>
              </w:rPr>
            </w:pPr>
          </w:p>
        </w:tc>
        <w:tc>
          <w:tcPr>
            <w:tcW w:w="3320" w:type="dxa"/>
            <w:gridSpan w:val="2"/>
            <w:vMerge w:val="continue"/>
            <w:vAlign w:val="center"/>
          </w:tcPr>
          <w:p>
            <w:pPr>
              <w:widowControl/>
              <w:jc w:val="center"/>
              <w:rPr>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976" w:type="dxa"/>
            <w:vMerge w:val="continue"/>
            <w:vAlign w:val="center"/>
          </w:tcPr>
          <w:p>
            <w:pPr>
              <w:widowControl/>
              <w:jc w:val="center"/>
              <w:rPr>
                <w:color w:val="000000"/>
                <w:kern w:val="0"/>
                <w:sz w:val="24"/>
                <w:szCs w:val="24"/>
              </w:rPr>
            </w:pPr>
          </w:p>
        </w:tc>
        <w:tc>
          <w:tcPr>
            <w:tcW w:w="1096" w:type="dxa"/>
            <w:vMerge w:val="continue"/>
            <w:vAlign w:val="center"/>
          </w:tcPr>
          <w:p>
            <w:pPr>
              <w:widowControl/>
              <w:jc w:val="center"/>
              <w:rPr>
                <w:color w:val="000000"/>
                <w:kern w:val="0"/>
                <w:sz w:val="24"/>
                <w:szCs w:val="24"/>
              </w:rPr>
            </w:pPr>
          </w:p>
        </w:tc>
        <w:tc>
          <w:tcPr>
            <w:tcW w:w="2836" w:type="dxa"/>
            <w:tcBorders>
              <w:bottom w:val="single" w:color="auto" w:sz="4" w:space="0"/>
            </w:tcBorders>
            <w:vAlign w:val="center"/>
          </w:tcPr>
          <w:p>
            <w:pPr>
              <w:widowControl/>
              <w:rPr>
                <w:rFonts w:ascii="宋体" w:cs="宋体"/>
                <w:i/>
                <w:iCs/>
                <w:color w:val="000000"/>
                <w:kern w:val="0"/>
              </w:rPr>
            </w:pPr>
            <w:r>
              <w:rPr>
                <w:rFonts w:hint="eastAsia" w:ascii="宋体" w:cs="宋体"/>
                <w:color w:val="000000"/>
                <w:kern w:val="0"/>
              </w:rPr>
              <w:t>（37）</w:t>
            </w:r>
            <w:r>
              <w:rPr>
                <w:rFonts w:hint="eastAsia" w:ascii="宋体" w:cs="宋体"/>
                <w:color w:val="000000"/>
              </w:rPr>
              <w:t>企业经营场所的重要敏感区域装有视频监控系统，视频监控记录保存时限应当满足企业自身供应链安全检查追溯的要求。</w:t>
            </w:r>
          </w:p>
        </w:tc>
        <w:tc>
          <w:tcPr>
            <w:tcW w:w="3705" w:type="dxa"/>
            <w:vAlign w:val="center"/>
          </w:tcPr>
          <w:p>
            <w:pPr>
              <w:jc w:val="left"/>
              <w:rPr>
                <w:rFonts w:ascii="宋体" w:hAnsi="宋体"/>
                <w:kern w:val="0"/>
                <w:szCs w:val="21"/>
              </w:rPr>
            </w:pPr>
          </w:p>
        </w:tc>
        <w:tc>
          <w:tcPr>
            <w:tcW w:w="3909" w:type="dxa"/>
            <w:vAlign w:val="center"/>
          </w:tcPr>
          <w:p>
            <w:pPr>
              <w:widowControl/>
              <w:jc w:val="left"/>
              <w:rPr>
                <w:kern w:val="0"/>
                <w:szCs w:val="21"/>
              </w:rPr>
            </w:pPr>
          </w:p>
        </w:tc>
        <w:tc>
          <w:tcPr>
            <w:tcW w:w="3320" w:type="dxa"/>
            <w:gridSpan w:val="2"/>
            <w:vMerge w:val="continue"/>
            <w:vAlign w:val="center"/>
          </w:tcPr>
          <w:p>
            <w:pPr>
              <w:widowControl/>
              <w:jc w:val="center"/>
              <w:rPr>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976" w:type="dxa"/>
            <w:vMerge w:val="restart"/>
            <w:vAlign w:val="center"/>
          </w:tcPr>
          <w:p>
            <w:pPr>
              <w:widowControl/>
              <w:jc w:val="center"/>
              <w:rPr>
                <w:color w:val="000000"/>
                <w:kern w:val="0"/>
                <w:sz w:val="24"/>
                <w:szCs w:val="24"/>
              </w:rPr>
            </w:pPr>
          </w:p>
        </w:tc>
        <w:tc>
          <w:tcPr>
            <w:tcW w:w="1096" w:type="dxa"/>
            <w:vMerge w:val="restart"/>
            <w:vAlign w:val="center"/>
          </w:tcPr>
          <w:p>
            <w:pPr>
              <w:widowControl/>
              <w:jc w:val="center"/>
              <w:rPr>
                <w:color w:val="000000"/>
                <w:kern w:val="0"/>
                <w:sz w:val="24"/>
                <w:szCs w:val="24"/>
              </w:rPr>
            </w:pPr>
            <w:r>
              <w:rPr>
                <w:rFonts w:hint="eastAsia" w:ascii="宋体" w:cs="宋体"/>
                <w:bCs/>
                <w:color w:val="000000"/>
                <w:kern w:val="0"/>
                <w:sz w:val="24"/>
              </w:rPr>
              <w:t>12.人员安全</w:t>
            </w:r>
          </w:p>
        </w:tc>
        <w:tc>
          <w:tcPr>
            <w:tcW w:w="2836" w:type="dxa"/>
            <w:tcBorders>
              <w:bottom w:val="single" w:color="auto" w:sz="4" w:space="0"/>
            </w:tcBorders>
            <w:vAlign w:val="center"/>
          </w:tcPr>
          <w:p>
            <w:pPr>
              <w:widowControl/>
              <w:rPr>
                <w:rFonts w:ascii="宋体"/>
                <w:color w:val="000000"/>
                <w:szCs w:val="21"/>
              </w:rPr>
            </w:pPr>
            <w:r>
              <w:rPr>
                <w:rFonts w:hint="eastAsia" w:ascii="宋体" w:cs="宋体"/>
                <w:color w:val="000000"/>
                <w:kern w:val="0"/>
                <w:szCs w:val="21"/>
              </w:rPr>
              <w:t>（38）建立并执行员工入职、离职等管理制度。实行员工档案管理，具有动态的员工清单。</w:t>
            </w:r>
          </w:p>
        </w:tc>
        <w:tc>
          <w:tcPr>
            <w:tcW w:w="3705" w:type="dxa"/>
            <w:vAlign w:val="center"/>
          </w:tcPr>
          <w:p>
            <w:pPr>
              <w:widowControl/>
              <w:adjustRightInd w:val="0"/>
              <w:snapToGrid w:val="0"/>
              <w:rPr>
                <w:kern w:val="0"/>
                <w:sz w:val="24"/>
                <w:szCs w:val="24"/>
              </w:rPr>
            </w:pPr>
            <w:r>
              <w:rPr>
                <w:color w:val="FF0000"/>
                <w:kern w:val="0"/>
                <w:sz w:val="24"/>
                <w:szCs w:val="24"/>
              </w:rPr>
              <w:t xml:space="preserve"> </w:t>
            </w:r>
          </w:p>
        </w:tc>
        <w:tc>
          <w:tcPr>
            <w:tcW w:w="3909" w:type="dxa"/>
            <w:vAlign w:val="center"/>
          </w:tcPr>
          <w:p/>
          <w:p>
            <w:pPr>
              <w:widowControl/>
              <w:jc w:val="left"/>
              <w:rPr>
                <w:kern w:val="0"/>
                <w:sz w:val="24"/>
                <w:szCs w:val="24"/>
              </w:rPr>
            </w:pPr>
          </w:p>
        </w:tc>
        <w:tc>
          <w:tcPr>
            <w:tcW w:w="3320" w:type="dxa"/>
            <w:gridSpan w:val="2"/>
            <w:vMerge w:val="restart"/>
            <w:vAlign w:val="center"/>
          </w:tcPr>
          <w:p>
            <w:pPr>
              <w:widowControl/>
              <w:jc w:val="center"/>
              <w:rPr>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976" w:type="dxa"/>
            <w:vMerge w:val="continue"/>
            <w:vAlign w:val="center"/>
          </w:tcPr>
          <w:p>
            <w:pPr>
              <w:rPr>
                <w:color w:val="000000"/>
              </w:rPr>
            </w:pPr>
          </w:p>
        </w:tc>
        <w:tc>
          <w:tcPr>
            <w:tcW w:w="1096" w:type="dxa"/>
            <w:vMerge w:val="continue"/>
            <w:vAlign w:val="center"/>
          </w:tcPr>
          <w:p>
            <w:pPr>
              <w:rPr>
                <w:color w:val="000000"/>
              </w:rPr>
            </w:pPr>
          </w:p>
        </w:tc>
        <w:tc>
          <w:tcPr>
            <w:tcW w:w="2836" w:type="dxa"/>
            <w:tcBorders>
              <w:top w:val="single" w:color="auto" w:sz="4" w:space="0"/>
              <w:bottom w:val="single" w:color="auto" w:sz="4" w:space="0"/>
            </w:tcBorders>
            <w:vAlign w:val="center"/>
          </w:tcPr>
          <w:p>
            <w:pPr>
              <w:widowControl/>
              <w:rPr>
                <w:rFonts w:ascii="宋体"/>
                <w:color w:val="000000"/>
                <w:szCs w:val="21"/>
              </w:rPr>
            </w:pPr>
            <w:r>
              <w:rPr>
                <w:rFonts w:hint="eastAsia" w:ascii="宋体" w:cs="宋体"/>
                <w:color w:val="000000"/>
                <w:kern w:val="0"/>
                <w:szCs w:val="21"/>
              </w:rPr>
              <w:t>（39）招聘新员工时应当进行违法记录调查。对在安全敏感岗位工作的员工应当进行定期或者有原因的背景调查。</w:t>
            </w:r>
          </w:p>
        </w:tc>
        <w:tc>
          <w:tcPr>
            <w:tcW w:w="3705" w:type="dxa"/>
            <w:vAlign w:val="center"/>
          </w:tcPr>
          <w:p>
            <w:pPr>
              <w:rPr>
                <w:color w:val="FF0000"/>
              </w:rPr>
            </w:pPr>
          </w:p>
        </w:tc>
        <w:tc>
          <w:tcPr>
            <w:tcW w:w="3909" w:type="dxa"/>
            <w:vAlign w:val="center"/>
          </w:tcPr>
          <w:p/>
          <w:p/>
        </w:tc>
        <w:tc>
          <w:tcPr>
            <w:tcW w:w="3320" w:type="dxa"/>
            <w:gridSpan w:val="2"/>
            <w:vMerge w:val="continue"/>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2" w:hRule="atLeast"/>
        </w:trPr>
        <w:tc>
          <w:tcPr>
            <w:tcW w:w="976" w:type="dxa"/>
            <w:vMerge w:val="continue"/>
            <w:vAlign w:val="center"/>
          </w:tcPr>
          <w:p>
            <w:pPr>
              <w:rPr>
                <w:color w:val="000000"/>
              </w:rPr>
            </w:pPr>
          </w:p>
        </w:tc>
        <w:tc>
          <w:tcPr>
            <w:tcW w:w="1096" w:type="dxa"/>
            <w:vMerge w:val="continue"/>
            <w:vAlign w:val="center"/>
          </w:tcPr>
          <w:p>
            <w:pPr>
              <w:rPr>
                <w:color w:val="000000"/>
              </w:rPr>
            </w:pPr>
          </w:p>
        </w:tc>
        <w:tc>
          <w:tcPr>
            <w:tcW w:w="2836" w:type="dxa"/>
            <w:tcBorders>
              <w:top w:val="single" w:color="auto" w:sz="4" w:space="0"/>
            </w:tcBorders>
            <w:vAlign w:val="center"/>
          </w:tcPr>
          <w:p>
            <w:pPr>
              <w:adjustRightInd w:val="0"/>
              <w:snapToGrid w:val="0"/>
              <w:rPr>
                <w:rFonts w:ascii="宋体"/>
                <w:color w:val="000000"/>
              </w:rPr>
            </w:pPr>
            <w:r>
              <w:rPr>
                <w:rFonts w:hint="eastAsia" w:ascii="宋体" w:cs="宋体"/>
                <w:color w:val="000000"/>
                <w:kern w:val="0"/>
                <w:szCs w:val="21"/>
              </w:rPr>
              <w:t>（40）对企业员工进行身份识别，要求所有员工携带企业发放的身份标识，对离职员工及时取消身份识别、经营场所和信息系统访问的授权。</w:t>
            </w:r>
          </w:p>
        </w:tc>
        <w:tc>
          <w:tcPr>
            <w:tcW w:w="3705" w:type="dxa"/>
            <w:vAlign w:val="center"/>
          </w:tcPr>
          <w:p/>
          <w:p/>
        </w:tc>
        <w:tc>
          <w:tcPr>
            <w:tcW w:w="3909" w:type="dxa"/>
            <w:vAlign w:val="center"/>
          </w:tcPr>
          <w:p>
            <w:pPr>
              <w:rPr>
                <w:color w:val="000000"/>
              </w:rPr>
            </w:pPr>
          </w:p>
        </w:tc>
        <w:tc>
          <w:tcPr>
            <w:tcW w:w="3320" w:type="dxa"/>
            <w:gridSpan w:val="2"/>
            <w:vMerge w:val="continue"/>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976" w:type="dxa"/>
            <w:vMerge w:val="continue"/>
            <w:vAlign w:val="center"/>
          </w:tcPr>
          <w:p>
            <w:pPr>
              <w:widowControl/>
              <w:jc w:val="center"/>
              <w:rPr>
                <w:color w:val="000000"/>
                <w:kern w:val="0"/>
                <w:sz w:val="24"/>
                <w:szCs w:val="24"/>
              </w:rPr>
            </w:pPr>
          </w:p>
        </w:tc>
        <w:tc>
          <w:tcPr>
            <w:tcW w:w="1096" w:type="dxa"/>
            <w:vMerge w:val="continue"/>
            <w:vAlign w:val="center"/>
          </w:tcPr>
          <w:p>
            <w:pPr>
              <w:widowControl/>
              <w:jc w:val="center"/>
              <w:rPr>
                <w:color w:val="000000"/>
                <w:kern w:val="0"/>
                <w:sz w:val="24"/>
                <w:szCs w:val="24"/>
              </w:rPr>
            </w:pPr>
          </w:p>
        </w:tc>
        <w:tc>
          <w:tcPr>
            <w:tcW w:w="2836" w:type="dxa"/>
            <w:vAlign w:val="center"/>
          </w:tcPr>
          <w:p>
            <w:pPr>
              <w:widowControl/>
              <w:rPr>
                <w:color w:val="000000"/>
                <w:kern w:val="0"/>
                <w:szCs w:val="21"/>
              </w:rPr>
            </w:pPr>
            <w:r>
              <w:rPr>
                <w:rFonts w:hint="eastAsia" w:ascii="宋体" w:cs="宋体"/>
                <w:color w:val="000000"/>
                <w:kern w:val="0"/>
                <w:szCs w:val="21"/>
              </w:rPr>
              <w:t>（41）实行访客进出登记管理，登记时必须检查带有照片的身份证件或者进行人脸识别登记。访客进入企业经营场所应当佩戴临时身份标识，进入企业受控区域应当有企业内部人员陪同。</w:t>
            </w:r>
          </w:p>
        </w:tc>
        <w:tc>
          <w:tcPr>
            <w:tcW w:w="3705" w:type="dxa"/>
            <w:vAlign w:val="center"/>
          </w:tcPr>
          <w:p>
            <w:pPr>
              <w:widowControl/>
              <w:jc w:val="left"/>
              <w:rPr>
                <w:color w:val="FF0000"/>
                <w:kern w:val="0"/>
                <w:szCs w:val="21"/>
              </w:rPr>
            </w:pPr>
          </w:p>
        </w:tc>
        <w:tc>
          <w:tcPr>
            <w:tcW w:w="3909" w:type="dxa"/>
            <w:vAlign w:val="center"/>
          </w:tcPr>
          <w:p>
            <w:pPr>
              <w:rPr>
                <w:kern w:val="0"/>
                <w:sz w:val="24"/>
                <w:szCs w:val="24"/>
              </w:rPr>
            </w:pPr>
          </w:p>
        </w:tc>
        <w:tc>
          <w:tcPr>
            <w:tcW w:w="3320" w:type="dxa"/>
            <w:gridSpan w:val="2"/>
            <w:vMerge w:val="continue"/>
            <w:vAlign w:val="center"/>
          </w:tcPr>
          <w:p>
            <w:pPr>
              <w:widowControl/>
              <w:jc w:val="center"/>
              <w:rPr>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976" w:type="dxa"/>
            <w:vMerge w:val="restart"/>
            <w:vAlign w:val="center"/>
          </w:tcPr>
          <w:p>
            <w:pPr>
              <w:widowControl/>
              <w:jc w:val="center"/>
              <w:rPr>
                <w:color w:val="000000"/>
                <w:kern w:val="0"/>
                <w:sz w:val="24"/>
                <w:szCs w:val="24"/>
              </w:rPr>
            </w:pPr>
          </w:p>
        </w:tc>
        <w:tc>
          <w:tcPr>
            <w:tcW w:w="1096" w:type="dxa"/>
            <w:vMerge w:val="restart"/>
            <w:vAlign w:val="center"/>
          </w:tcPr>
          <w:p>
            <w:pPr>
              <w:widowControl/>
              <w:jc w:val="center"/>
              <w:rPr>
                <w:color w:val="000000"/>
                <w:kern w:val="0"/>
                <w:sz w:val="24"/>
                <w:szCs w:val="24"/>
              </w:rPr>
            </w:pPr>
            <w:r>
              <w:rPr>
                <w:rFonts w:hint="eastAsia" w:ascii="宋体" w:cs="宋体"/>
                <w:bCs/>
                <w:color w:val="000000"/>
                <w:kern w:val="0"/>
                <w:sz w:val="24"/>
                <w:szCs w:val="24"/>
              </w:rPr>
              <w:t>13.货物、物品安全</w:t>
            </w:r>
          </w:p>
        </w:tc>
        <w:tc>
          <w:tcPr>
            <w:tcW w:w="2836" w:type="dxa"/>
            <w:vAlign w:val="center"/>
          </w:tcPr>
          <w:p>
            <w:pPr>
              <w:widowControl/>
              <w:rPr>
                <w:rFonts w:ascii="宋体"/>
                <w:color w:val="000000"/>
              </w:rPr>
            </w:pPr>
            <w:r>
              <w:rPr>
                <w:rFonts w:hint="eastAsia" w:ascii="宋体" w:cs="宋体"/>
                <w:color w:val="000000"/>
                <w:szCs w:val="21"/>
              </w:rPr>
              <w:t>本标准所称集装箱包括海运集装箱、空运集装器和在火车、卡车、飞机、轮船和任何其他运输工具上的用于装运</w:t>
            </w:r>
            <w:r>
              <w:rPr>
                <w:rFonts w:hint="eastAsia" w:ascii="宋体" w:cs="宋体"/>
                <w:color w:val="000000"/>
                <w:kern w:val="0"/>
                <w:szCs w:val="21"/>
              </w:rPr>
              <w:t>进出口货物、进出境物品的可移动</w:t>
            </w:r>
            <w:r>
              <w:rPr>
                <w:rFonts w:hint="eastAsia" w:ascii="宋体" w:cs="宋体"/>
                <w:color w:val="000000"/>
                <w:szCs w:val="21"/>
              </w:rPr>
              <w:t>装置和厢式货车。</w:t>
            </w:r>
          </w:p>
        </w:tc>
        <w:tc>
          <w:tcPr>
            <w:tcW w:w="3705" w:type="dxa"/>
            <w:vAlign w:val="center"/>
          </w:tcPr>
          <w:p>
            <w:pPr>
              <w:widowControl/>
              <w:jc w:val="left"/>
              <w:rPr>
                <w:kern w:val="0"/>
                <w:szCs w:val="21"/>
              </w:rPr>
            </w:pPr>
          </w:p>
        </w:tc>
        <w:tc>
          <w:tcPr>
            <w:tcW w:w="3909" w:type="dxa"/>
            <w:vAlign w:val="center"/>
          </w:tcPr>
          <w:p>
            <w:pPr>
              <w:widowControl/>
              <w:jc w:val="left"/>
              <w:rPr>
                <w:kern w:val="0"/>
                <w:sz w:val="24"/>
                <w:szCs w:val="24"/>
              </w:rPr>
            </w:pPr>
          </w:p>
        </w:tc>
        <w:tc>
          <w:tcPr>
            <w:tcW w:w="3320" w:type="dxa"/>
            <w:gridSpan w:val="2"/>
            <w:vMerge w:val="restart"/>
            <w:vAlign w:val="center"/>
          </w:tcPr>
          <w:p>
            <w:pPr>
              <w:widowControl/>
              <w:jc w:val="center"/>
              <w:rPr>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trPr>
        <w:tc>
          <w:tcPr>
            <w:tcW w:w="976" w:type="dxa"/>
            <w:vMerge w:val="continue"/>
            <w:vAlign w:val="center"/>
          </w:tcPr>
          <w:p>
            <w:pPr>
              <w:rPr>
                <w:color w:val="000000"/>
              </w:rPr>
            </w:pPr>
          </w:p>
        </w:tc>
        <w:tc>
          <w:tcPr>
            <w:tcW w:w="1096" w:type="dxa"/>
            <w:vMerge w:val="continue"/>
            <w:vAlign w:val="center"/>
          </w:tcPr>
          <w:p>
            <w:pPr>
              <w:rPr>
                <w:color w:val="000000"/>
              </w:rPr>
            </w:pPr>
          </w:p>
        </w:tc>
        <w:tc>
          <w:tcPr>
            <w:tcW w:w="2836" w:type="dxa"/>
            <w:vAlign w:val="center"/>
          </w:tcPr>
          <w:p>
            <w:pPr>
              <w:widowControl/>
              <w:rPr>
                <w:rFonts w:ascii="宋体"/>
                <w:color w:val="000000"/>
              </w:rPr>
            </w:pPr>
            <w:r>
              <w:rPr>
                <w:rFonts w:hint="eastAsia" w:ascii="宋体" w:cs="宋体"/>
                <w:color w:val="000000"/>
              </w:rPr>
              <w:t>（42）建立并执行保证进出口货物、进出境物品在运输、装卸和存储过程中的完整性、安全性的管理制度。</w:t>
            </w:r>
          </w:p>
        </w:tc>
        <w:tc>
          <w:tcPr>
            <w:tcW w:w="3705" w:type="dxa"/>
            <w:vAlign w:val="center"/>
          </w:tcPr>
          <w:p/>
        </w:tc>
        <w:tc>
          <w:tcPr>
            <w:tcW w:w="3909" w:type="dxa"/>
            <w:vAlign w:val="center"/>
          </w:tcPr>
          <w:p/>
        </w:tc>
        <w:tc>
          <w:tcPr>
            <w:tcW w:w="3320" w:type="dxa"/>
            <w:gridSpan w:val="2"/>
            <w:vMerge w:val="continue"/>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976" w:type="dxa"/>
            <w:vMerge w:val="continue"/>
            <w:vAlign w:val="center"/>
          </w:tcPr>
          <w:p>
            <w:pPr>
              <w:rPr>
                <w:color w:val="000000"/>
              </w:rPr>
            </w:pPr>
          </w:p>
        </w:tc>
        <w:tc>
          <w:tcPr>
            <w:tcW w:w="1096" w:type="dxa"/>
            <w:vMerge w:val="continue"/>
            <w:vAlign w:val="center"/>
          </w:tcPr>
          <w:p>
            <w:pPr>
              <w:rPr>
                <w:color w:val="000000"/>
              </w:rPr>
            </w:pPr>
          </w:p>
        </w:tc>
        <w:tc>
          <w:tcPr>
            <w:tcW w:w="2836" w:type="dxa"/>
            <w:vAlign w:val="center"/>
          </w:tcPr>
          <w:p>
            <w:pPr>
              <w:widowControl/>
              <w:rPr>
                <w:rFonts w:hint="eastAsia"/>
                <w:kern w:val="0"/>
                <w:szCs w:val="21"/>
              </w:rPr>
            </w:pPr>
            <w:r>
              <w:rPr>
                <w:rFonts w:hint="eastAsia" w:ascii="宋体" w:cs="宋体"/>
                <w:color w:val="000000"/>
              </w:rPr>
              <w:t>（43）在装货前检查集装箱结构的物理完整性和可靠性，包括门的锁闭系统的可靠性，并做好相关登记。检查采取“七点检查法”（即对集装箱按照以下部位进行检查：前壁、左侧、右侧、地板、顶部、内/外门、外部/起落架）。</w:t>
            </w:r>
          </w:p>
        </w:tc>
        <w:tc>
          <w:tcPr>
            <w:tcW w:w="3705" w:type="dxa"/>
            <w:vAlign w:val="center"/>
          </w:tcPr>
          <w:p>
            <w:pPr>
              <w:rPr>
                <w:color w:val="FF0000"/>
              </w:rPr>
            </w:pPr>
          </w:p>
        </w:tc>
        <w:tc>
          <w:tcPr>
            <w:tcW w:w="3909" w:type="dxa"/>
            <w:vAlign w:val="center"/>
          </w:tcPr>
          <w:p/>
        </w:tc>
        <w:tc>
          <w:tcPr>
            <w:tcW w:w="3320" w:type="dxa"/>
            <w:gridSpan w:val="2"/>
            <w:vMerge w:val="continue"/>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2" w:hRule="atLeast"/>
        </w:trPr>
        <w:tc>
          <w:tcPr>
            <w:tcW w:w="976" w:type="dxa"/>
            <w:vMerge w:val="continue"/>
            <w:vAlign w:val="center"/>
          </w:tcPr>
          <w:p>
            <w:pPr>
              <w:rPr>
                <w:color w:val="000000"/>
              </w:rPr>
            </w:pPr>
          </w:p>
        </w:tc>
        <w:tc>
          <w:tcPr>
            <w:tcW w:w="1096" w:type="dxa"/>
            <w:vMerge w:val="continue"/>
            <w:vAlign w:val="center"/>
          </w:tcPr>
          <w:p>
            <w:pPr>
              <w:rPr>
                <w:color w:val="000000"/>
              </w:rPr>
            </w:pPr>
          </w:p>
        </w:tc>
        <w:tc>
          <w:tcPr>
            <w:tcW w:w="2836" w:type="dxa"/>
            <w:vAlign w:val="center"/>
          </w:tcPr>
          <w:p>
            <w:pPr>
              <w:widowControl/>
              <w:rPr>
                <w:rFonts w:hint="eastAsia"/>
                <w:kern w:val="0"/>
                <w:szCs w:val="21"/>
              </w:rPr>
            </w:pPr>
            <w:r>
              <w:rPr>
                <w:rFonts w:hint="eastAsia" w:ascii="宋体" w:cs="宋体"/>
                <w:color w:val="000000"/>
              </w:rPr>
              <w:t>（44）确保企业及其在供应链中负有封条责任的商业伙伴建立并执行施加和检验封条的书面制度和程序，封条有专人管理、登记，已装货集装箱使用的封条符合或者超出现行PAS ISO 17712高度安全封条标准。</w:t>
            </w:r>
          </w:p>
        </w:tc>
        <w:tc>
          <w:tcPr>
            <w:tcW w:w="3705" w:type="dxa"/>
            <w:vAlign w:val="center"/>
          </w:tcPr>
          <w:p>
            <w:pPr>
              <w:rPr>
                <w:color w:val="FF0000"/>
              </w:rPr>
            </w:pPr>
          </w:p>
        </w:tc>
        <w:tc>
          <w:tcPr>
            <w:tcW w:w="3909" w:type="dxa"/>
            <w:vAlign w:val="center"/>
          </w:tcPr>
          <w:p/>
        </w:tc>
        <w:tc>
          <w:tcPr>
            <w:tcW w:w="3320" w:type="dxa"/>
            <w:gridSpan w:val="2"/>
            <w:vMerge w:val="continue"/>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2" w:hRule="atLeast"/>
        </w:trPr>
        <w:tc>
          <w:tcPr>
            <w:tcW w:w="976" w:type="dxa"/>
            <w:vMerge w:val="continue"/>
            <w:vAlign w:val="center"/>
          </w:tcPr>
          <w:p>
            <w:pPr>
              <w:rPr>
                <w:color w:val="000000"/>
              </w:rPr>
            </w:pPr>
          </w:p>
        </w:tc>
        <w:tc>
          <w:tcPr>
            <w:tcW w:w="1096" w:type="dxa"/>
            <w:vMerge w:val="continue"/>
            <w:vAlign w:val="center"/>
          </w:tcPr>
          <w:p>
            <w:pPr>
              <w:rPr>
                <w:color w:val="000000"/>
              </w:rPr>
            </w:pPr>
          </w:p>
        </w:tc>
        <w:tc>
          <w:tcPr>
            <w:tcW w:w="2836" w:type="dxa"/>
            <w:vAlign w:val="center"/>
          </w:tcPr>
          <w:p>
            <w:pPr>
              <w:widowControl/>
              <w:rPr>
                <w:rFonts w:hint="eastAsia"/>
                <w:kern w:val="0"/>
                <w:szCs w:val="21"/>
              </w:rPr>
            </w:pPr>
            <w:r>
              <w:rPr>
                <w:rFonts w:hint="eastAsia" w:ascii="宋体" w:cs="宋体"/>
                <w:color w:val="000000"/>
              </w:rPr>
              <w:t>（45）确保企业保管的货物、物品和集装箱存放在安全的区域，防止未经授权的人员接触货物、物品。</w:t>
            </w:r>
          </w:p>
        </w:tc>
        <w:tc>
          <w:tcPr>
            <w:tcW w:w="3705" w:type="dxa"/>
            <w:vAlign w:val="center"/>
          </w:tcPr>
          <w:p>
            <w:pPr>
              <w:rPr>
                <w:color w:val="FF0000"/>
              </w:rPr>
            </w:pPr>
          </w:p>
        </w:tc>
        <w:tc>
          <w:tcPr>
            <w:tcW w:w="3909" w:type="dxa"/>
            <w:vAlign w:val="center"/>
          </w:tcPr>
          <w:p/>
        </w:tc>
        <w:tc>
          <w:tcPr>
            <w:tcW w:w="3320" w:type="dxa"/>
            <w:gridSpan w:val="2"/>
            <w:vMerge w:val="continue"/>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2" w:hRule="atLeast"/>
        </w:trPr>
        <w:tc>
          <w:tcPr>
            <w:tcW w:w="976" w:type="dxa"/>
            <w:vMerge w:val="continue"/>
            <w:vAlign w:val="center"/>
          </w:tcPr>
          <w:p>
            <w:pPr>
              <w:rPr>
                <w:color w:val="000000"/>
              </w:rPr>
            </w:pPr>
          </w:p>
        </w:tc>
        <w:tc>
          <w:tcPr>
            <w:tcW w:w="1096" w:type="dxa"/>
            <w:vMerge w:val="continue"/>
            <w:vAlign w:val="center"/>
          </w:tcPr>
          <w:p>
            <w:pPr>
              <w:rPr>
                <w:color w:val="000000"/>
              </w:rPr>
            </w:pPr>
          </w:p>
        </w:tc>
        <w:tc>
          <w:tcPr>
            <w:tcW w:w="2836" w:type="dxa"/>
            <w:vAlign w:val="center"/>
          </w:tcPr>
          <w:p>
            <w:pPr>
              <w:widowControl/>
              <w:rPr>
                <w:rFonts w:hint="eastAsia"/>
                <w:kern w:val="0"/>
                <w:szCs w:val="21"/>
              </w:rPr>
            </w:pPr>
            <w:r>
              <w:rPr>
                <w:rFonts w:hint="eastAsia" w:ascii="宋体" w:cs="宋体"/>
                <w:color w:val="000000"/>
              </w:rPr>
              <w:t>（46）在货物被装运或者接收前对装运或者接收货物运输工具的驾驶人员进行身份核实。</w:t>
            </w:r>
          </w:p>
        </w:tc>
        <w:tc>
          <w:tcPr>
            <w:tcW w:w="3705" w:type="dxa"/>
            <w:vAlign w:val="center"/>
          </w:tcPr>
          <w:p>
            <w:pPr>
              <w:rPr>
                <w:color w:val="FF0000"/>
              </w:rPr>
            </w:pPr>
          </w:p>
        </w:tc>
        <w:tc>
          <w:tcPr>
            <w:tcW w:w="3909" w:type="dxa"/>
            <w:vAlign w:val="center"/>
          </w:tcPr>
          <w:p/>
        </w:tc>
        <w:tc>
          <w:tcPr>
            <w:tcW w:w="3320" w:type="dxa"/>
            <w:gridSpan w:val="2"/>
            <w:vMerge w:val="continue"/>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2" w:hRule="atLeast"/>
        </w:trPr>
        <w:tc>
          <w:tcPr>
            <w:tcW w:w="976" w:type="dxa"/>
            <w:vMerge w:val="continue"/>
            <w:vAlign w:val="center"/>
          </w:tcPr>
          <w:p>
            <w:pPr>
              <w:rPr>
                <w:color w:val="000000"/>
              </w:rPr>
            </w:pPr>
          </w:p>
        </w:tc>
        <w:tc>
          <w:tcPr>
            <w:tcW w:w="1096" w:type="dxa"/>
            <w:vMerge w:val="continue"/>
            <w:vAlign w:val="center"/>
          </w:tcPr>
          <w:p>
            <w:pPr>
              <w:rPr>
                <w:color w:val="000000"/>
              </w:rPr>
            </w:pPr>
          </w:p>
        </w:tc>
        <w:tc>
          <w:tcPr>
            <w:tcW w:w="2836" w:type="dxa"/>
            <w:vAlign w:val="center"/>
          </w:tcPr>
          <w:p>
            <w:pPr>
              <w:widowControl/>
              <w:rPr>
                <w:rFonts w:hint="eastAsia"/>
                <w:kern w:val="0"/>
                <w:szCs w:val="21"/>
              </w:rPr>
            </w:pPr>
            <w:r>
              <w:rPr>
                <w:rFonts w:hint="eastAsia" w:ascii="宋体" w:cs="宋体"/>
                <w:color w:val="000000"/>
              </w:rPr>
              <w:t>（47）运抵的货物、物品要与货物、物品单证的信息相符，核实货物、物品的重量、标签、件数或者箱数，离岸的货物、物品要与购货订单或者装运订单上的内容进行核实，在货物、物品关键交接环节有保护制度，实施签名、盖章或者其它确认措施。</w:t>
            </w:r>
          </w:p>
        </w:tc>
        <w:tc>
          <w:tcPr>
            <w:tcW w:w="3705" w:type="dxa"/>
            <w:vAlign w:val="center"/>
          </w:tcPr>
          <w:p>
            <w:pPr>
              <w:rPr>
                <w:color w:val="FF0000"/>
              </w:rPr>
            </w:pPr>
          </w:p>
        </w:tc>
        <w:tc>
          <w:tcPr>
            <w:tcW w:w="3909" w:type="dxa"/>
            <w:vAlign w:val="center"/>
          </w:tcPr>
          <w:p/>
        </w:tc>
        <w:tc>
          <w:tcPr>
            <w:tcW w:w="3320" w:type="dxa"/>
            <w:gridSpan w:val="2"/>
            <w:vMerge w:val="continue"/>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2" w:hRule="atLeast"/>
        </w:trPr>
        <w:tc>
          <w:tcPr>
            <w:tcW w:w="976" w:type="dxa"/>
            <w:vMerge w:val="continue"/>
            <w:vAlign w:val="center"/>
          </w:tcPr>
          <w:p>
            <w:pPr>
              <w:rPr>
                <w:color w:val="000000"/>
              </w:rPr>
            </w:pPr>
          </w:p>
        </w:tc>
        <w:tc>
          <w:tcPr>
            <w:tcW w:w="1096" w:type="dxa"/>
            <w:vMerge w:val="continue"/>
            <w:vAlign w:val="center"/>
          </w:tcPr>
          <w:p>
            <w:pPr>
              <w:rPr>
                <w:color w:val="000000"/>
              </w:rPr>
            </w:pPr>
          </w:p>
        </w:tc>
        <w:tc>
          <w:tcPr>
            <w:tcW w:w="2836" w:type="dxa"/>
            <w:vAlign w:val="center"/>
          </w:tcPr>
          <w:p>
            <w:pPr>
              <w:widowControl/>
              <w:rPr>
                <w:rFonts w:ascii="宋体"/>
                <w:b/>
                <w:color w:val="000000"/>
              </w:rPr>
            </w:pPr>
            <w:r>
              <w:rPr>
                <w:rFonts w:hint="eastAsia" w:ascii="宋体" w:cs="宋体"/>
                <w:color w:val="000000"/>
              </w:rPr>
              <w:t>（48）在出现货物、物品溢、短装，法检商品安全、卫生、环保等指标不合格或者其他异常现象时要及时报告或者采取其他应对措施。</w:t>
            </w:r>
          </w:p>
        </w:tc>
        <w:tc>
          <w:tcPr>
            <w:tcW w:w="3705" w:type="dxa"/>
            <w:vAlign w:val="center"/>
          </w:tcPr>
          <w:p>
            <w:pPr>
              <w:rPr>
                <w:color w:val="FF0000"/>
              </w:rPr>
            </w:pPr>
          </w:p>
          <w:p>
            <w:pPr>
              <w:rPr>
                <w:color w:val="FF0000"/>
              </w:rPr>
            </w:pPr>
          </w:p>
        </w:tc>
        <w:tc>
          <w:tcPr>
            <w:tcW w:w="3909" w:type="dxa"/>
            <w:vAlign w:val="center"/>
          </w:tcPr>
          <w:p/>
          <w:p/>
        </w:tc>
        <w:tc>
          <w:tcPr>
            <w:tcW w:w="3320" w:type="dxa"/>
            <w:gridSpan w:val="2"/>
            <w:vMerge w:val="continue"/>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976" w:type="dxa"/>
            <w:vMerge w:val="continue"/>
            <w:vAlign w:val="center"/>
          </w:tcPr>
          <w:p>
            <w:pPr>
              <w:rPr>
                <w:color w:val="000000"/>
              </w:rPr>
            </w:pPr>
          </w:p>
        </w:tc>
        <w:tc>
          <w:tcPr>
            <w:tcW w:w="1096" w:type="dxa"/>
            <w:vMerge w:val="continue"/>
            <w:vAlign w:val="center"/>
          </w:tcPr>
          <w:p>
            <w:pPr>
              <w:rPr>
                <w:color w:val="000000"/>
              </w:rPr>
            </w:pPr>
          </w:p>
        </w:tc>
        <w:tc>
          <w:tcPr>
            <w:tcW w:w="2836" w:type="dxa"/>
            <w:vAlign w:val="center"/>
          </w:tcPr>
          <w:p>
            <w:pPr>
              <w:widowControl/>
              <w:rPr>
                <w:rFonts w:ascii="宋体"/>
                <w:b/>
                <w:color w:val="000000"/>
              </w:rPr>
            </w:pPr>
            <w:r>
              <w:rPr>
                <w:rFonts w:hint="eastAsia" w:ascii="宋体" w:cs="宋体"/>
                <w:color w:val="000000"/>
              </w:rPr>
              <w:t>（49）生产型企业对出口货物、物品实施专人监装并保存相关记录；非生产型企业要求建立管理制度确保出口货物、物品安全装运。</w:t>
            </w:r>
          </w:p>
        </w:tc>
        <w:tc>
          <w:tcPr>
            <w:tcW w:w="3705" w:type="dxa"/>
            <w:vAlign w:val="center"/>
          </w:tcPr>
          <w:p/>
        </w:tc>
        <w:tc>
          <w:tcPr>
            <w:tcW w:w="3909" w:type="dxa"/>
            <w:vAlign w:val="center"/>
          </w:tcPr>
          <w:p>
            <w:pPr>
              <w:widowControl/>
            </w:pPr>
          </w:p>
        </w:tc>
        <w:tc>
          <w:tcPr>
            <w:tcW w:w="3320" w:type="dxa"/>
            <w:gridSpan w:val="2"/>
            <w:vMerge w:val="continue"/>
            <w:tcBorders>
              <w:bottom w:val="single" w:color="auto" w:sz="4" w:space="0"/>
            </w:tcBorders>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trPr>
        <w:tc>
          <w:tcPr>
            <w:tcW w:w="976" w:type="dxa"/>
            <w:vMerge w:val="restart"/>
            <w:vAlign w:val="center"/>
          </w:tcPr>
          <w:p>
            <w:pPr>
              <w:widowControl/>
              <w:jc w:val="center"/>
              <w:rPr>
                <w:color w:val="000000"/>
                <w:kern w:val="0"/>
                <w:sz w:val="24"/>
                <w:szCs w:val="24"/>
              </w:rPr>
            </w:pPr>
          </w:p>
        </w:tc>
        <w:tc>
          <w:tcPr>
            <w:tcW w:w="1096" w:type="dxa"/>
            <w:vMerge w:val="restart"/>
            <w:vAlign w:val="center"/>
          </w:tcPr>
          <w:p>
            <w:pPr>
              <w:widowControl/>
              <w:jc w:val="center"/>
              <w:rPr>
                <w:color w:val="000000"/>
                <w:kern w:val="0"/>
                <w:sz w:val="24"/>
                <w:szCs w:val="24"/>
              </w:rPr>
            </w:pPr>
            <w:r>
              <w:rPr>
                <w:rFonts w:hint="eastAsia" w:ascii="宋体" w:cs="宋体"/>
                <w:bCs/>
                <w:color w:val="000000"/>
                <w:kern w:val="0"/>
                <w:sz w:val="24"/>
              </w:rPr>
              <w:t>14.运输工具安全</w:t>
            </w:r>
          </w:p>
        </w:tc>
        <w:tc>
          <w:tcPr>
            <w:tcW w:w="2836" w:type="dxa"/>
            <w:vAlign w:val="center"/>
          </w:tcPr>
          <w:p>
            <w:pPr>
              <w:widowControl/>
              <w:rPr>
                <w:rFonts w:ascii="宋体"/>
                <w:color w:val="000000"/>
                <w:kern w:val="0"/>
              </w:rPr>
            </w:pPr>
            <w:r>
              <w:rPr>
                <w:rFonts w:hint="eastAsia" w:ascii="宋体" w:cs="宋体"/>
                <w:color w:val="000000"/>
              </w:rPr>
              <w:t>（50）建立并执行保证在其供应链内用于进出</w:t>
            </w:r>
            <w:r>
              <w:rPr>
                <w:rFonts w:hint="eastAsia" w:ascii="宋体" w:cs="宋体"/>
                <w:snapToGrid w:val="0"/>
                <w:color w:val="000000"/>
                <w:kern w:val="0"/>
              </w:rPr>
              <w:t>口货物、进出境物品运输的所</w:t>
            </w:r>
            <w:r>
              <w:rPr>
                <w:rFonts w:hint="eastAsia" w:ascii="宋体" w:cs="宋体"/>
                <w:color w:val="000000"/>
              </w:rPr>
              <w:t>有运输工具的完整性、安全性的管理制度。</w:t>
            </w:r>
          </w:p>
        </w:tc>
        <w:tc>
          <w:tcPr>
            <w:tcW w:w="3705" w:type="dxa"/>
            <w:vMerge w:val="restart"/>
            <w:vAlign w:val="center"/>
          </w:tcPr>
          <w:p>
            <w:pPr>
              <w:widowControl/>
              <w:jc w:val="left"/>
              <w:rPr>
                <w:kern w:val="0"/>
                <w:szCs w:val="21"/>
              </w:rPr>
            </w:pPr>
          </w:p>
          <w:p>
            <w:pPr>
              <w:jc w:val="left"/>
              <w:rPr>
                <w:color w:val="FF0000"/>
              </w:rPr>
            </w:pPr>
          </w:p>
        </w:tc>
        <w:tc>
          <w:tcPr>
            <w:tcW w:w="3909" w:type="dxa"/>
            <w:vMerge w:val="restart"/>
            <w:vAlign w:val="center"/>
          </w:tcPr>
          <w:p>
            <w:pPr>
              <w:widowControl/>
              <w:rPr>
                <w:rFonts w:ascii="宋体"/>
                <w:color w:val="000000"/>
                <w:kern w:val="0"/>
              </w:rPr>
            </w:pPr>
          </w:p>
          <w:p>
            <w:pPr>
              <w:pStyle w:val="24"/>
              <w:widowControl/>
              <w:rPr>
                <w:rFonts w:ascii="宋体" w:hAnsi="Calibri"/>
                <w:color w:val="000000"/>
                <w:kern w:val="0"/>
                <w:szCs w:val="22"/>
              </w:rPr>
            </w:pPr>
          </w:p>
          <w:p>
            <w:pPr>
              <w:pStyle w:val="24"/>
              <w:widowControl/>
              <w:rPr>
                <w:rFonts w:ascii="宋体" w:hAnsi="Calibri"/>
                <w:color w:val="000000"/>
                <w:kern w:val="0"/>
                <w:szCs w:val="22"/>
              </w:rPr>
            </w:pPr>
          </w:p>
        </w:tc>
        <w:tc>
          <w:tcPr>
            <w:tcW w:w="3320" w:type="dxa"/>
            <w:gridSpan w:val="2"/>
            <w:vMerge w:val="restart"/>
            <w:vAlign w:val="center"/>
          </w:tcPr>
          <w:p>
            <w:pPr>
              <w:widowControl/>
              <w:jc w:val="center"/>
              <w:rPr>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trPr>
        <w:tc>
          <w:tcPr>
            <w:tcW w:w="976" w:type="dxa"/>
            <w:vMerge w:val="continue"/>
            <w:vAlign w:val="center"/>
          </w:tcPr>
          <w:p>
            <w:pPr>
              <w:widowControl/>
              <w:jc w:val="center"/>
              <w:rPr>
                <w:color w:val="000000"/>
                <w:kern w:val="0"/>
                <w:sz w:val="24"/>
                <w:szCs w:val="24"/>
              </w:rPr>
            </w:pPr>
          </w:p>
        </w:tc>
        <w:tc>
          <w:tcPr>
            <w:tcW w:w="1096" w:type="dxa"/>
            <w:vMerge w:val="continue"/>
            <w:vAlign w:val="center"/>
          </w:tcPr>
          <w:p>
            <w:pPr>
              <w:widowControl/>
              <w:jc w:val="center"/>
              <w:rPr>
                <w:i/>
                <w:color w:val="000000"/>
                <w:kern w:val="0"/>
                <w:sz w:val="24"/>
                <w:szCs w:val="24"/>
              </w:rPr>
            </w:pPr>
          </w:p>
        </w:tc>
        <w:tc>
          <w:tcPr>
            <w:tcW w:w="2836" w:type="dxa"/>
            <w:vAlign w:val="center"/>
          </w:tcPr>
          <w:p>
            <w:pPr>
              <w:widowControl/>
              <w:rPr>
                <w:rFonts w:ascii="宋体" w:cs="宋体"/>
                <w:i/>
                <w:iCs/>
                <w:color w:val="000000"/>
                <w:kern w:val="0"/>
              </w:rPr>
            </w:pPr>
            <w:r>
              <w:rPr>
                <w:rFonts w:hint="eastAsia" w:ascii="宋体" w:cs="宋体"/>
                <w:color w:val="000000"/>
                <w:szCs w:val="21"/>
              </w:rPr>
              <w:t>（51）在装货前对运输工具进行检查，防止藏匿可疑货物、物品。</w:t>
            </w:r>
          </w:p>
        </w:tc>
        <w:tc>
          <w:tcPr>
            <w:tcW w:w="3705" w:type="dxa"/>
            <w:vMerge w:val="continue"/>
            <w:vAlign w:val="center"/>
          </w:tcPr>
          <w:p>
            <w:pPr>
              <w:jc w:val="left"/>
              <w:rPr>
                <w:color w:val="FF0000"/>
                <w:kern w:val="0"/>
                <w:szCs w:val="21"/>
              </w:rPr>
            </w:pPr>
          </w:p>
        </w:tc>
        <w:tc>
          <w:tcPr>
            <w:tcW w:w="3909" w:type="dxa"/>
            <w:vMerge w:val="continue"/>
            <w:vAlign w:val="center"/>
          </w:tcPr>
          <w:p>
            <w:pPr>
              <w:widowControl/>
              <w:rPr>
                <w:rFonts w:ascii="宋体"/>
                <w:color w:val="000000"/>
                <w:kern w:val="0"/>
              </w:rPr>
            </w:pPr>
          </w:p>
        </w:tc>
        <w:tc>
          <w:tcPr>
            <w:tcW w:w="3320" w:type="dxa"/>
            <w:gridSpan w:val="2"/>
            <w:vMerge w:val="continue"/>
            <w:vAlign w:val="center"/>
          </w:tcPr>
          <w:p>
            <w:pPr>
              <w:widowControl/>
              <w:rPr>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trPr>
        <w:tc>
          <w:tcPr>
            <w:tcW w:w="976" w:type="dxa"/>
            <w:vMerge w:val="continue"/>
            <w:vAlign w:val="center"/>
          </w:tcPr>
          <w:p>
            <w:pPr>
              <w:widowControl/>
              <w:jc w:val="center"/>
              <w:rPr>
                <w:color w:val="000000"/>
                <w:kern w:val="0"/>
                <w:sz w:val="24"/>
                <w:szCs w:val="24"/>
              </w:rPr>
            </w:pPr>
          </w:p>
        </w:tc>
        <w:tc>
          <w:tcPr>
            <w:tcW w:w="1096" w:type="dxa"/>
            <w:vMerge w:val="continue"/>
            <w:vAlign w:val="center"/>
          </w:tcPr>
          <w:p>
            <w:pPr>
              <w:widowControl/>
              <w:jc w:val="center"/>
              <w:rPr>
                <w:i/>
                <w:color w:val="000000"/>
                <w:kern w:val="0"/>
                <w:sz w:val="24"/>
                <w:szCs w:val="24"/>
              </w:rPr>
            </w:pPr>
          </w:p>
        </w:tc>
        <w:tc>
          <w:tcPr>
            <w:tcW w:w="2836" w:type="dxa"/>
            <w:vAlign w:val="center"/>
          </w:tcPr>
          <w:p>
            <w:pPr>
              <w:widowControl/>
              <w:rPr>
                <w:rFonts w:ascii="宋体" w:cs="宋体"/>
                <w:i/>
                <w:iCs/>
                <w:color w:val="000000"/>
                <w:kern w:val="0"/>
              </w:rPr>
            </w:pPr>
            <w:r>
              <w:rPr>
                <w:rFonts w:hint="eastAsia" w:ascii="宋体" w:cs="宋体"/>
                <w:color w:val="000000"/>
              </w:rPr>
              <w:t>（52）确保运输工具在无人看管的情况下的安全。</w:t>
            </w:r>
          </w:p>
        </w:tc>
        <w:tc>
          <w:tcPr>
            <w:tcW w:w="3705" w:type="dxa"/>
            <w:vMerge w:val="continue"/>
            <w:vAlign w:val="center"/>
          </w:tcPr>
          <w:p>
            <w:pPr>
              <w:jc w:val="left"/>
              <w:rPr>
                <w:color w:val="FF0000"/>
                <w:kern w:val="0"/>
                <w:szCs w:val="21"/>
              </w:rPr>
            </w:pPr>
          </w:p>
        </w:tc>
        <w:tc>
          <w:tcPr>
            <w:tcW w:w="3909" w:type="dxa"/>
            <w:vMerge w:val="continue"/>
            <w:vAlign w:val="center"/>
          </w:tcPr>
          <w:p>
            <w:pPr>
              <w:widowControl/>
              <w:rPr>
                <w:rFonts w:ascii="宋体"/>
                <w:color w:val="000000"/>
                <w:kern w:val="0"/>
              </w:rPr>
            </w:pPr>
          </w:p>
        </w:tc>
        <w:tc>
          <w:tcPr>
            <w:tcW w:w="3320" w:type="dxa"/>
            <w:gridSpan w:val="2"/>
            <w:vMerge w:val="continue"/>
            <w:vAlign w:val="center"/>
          </w:tcPr>
          <w:p>
            <w:pPr>
              <w:widowControl/>
              <w:rPr>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976" w:type="dxa"/>
            <w:vMerge w:val="continue"/>
            <w:tcBorders>
              <w:bottom w:val="nil"/>
            </w:tcBorders>
            <w:vAlign w:val="center"/>
          </w:tcPr>
          <w:p>
            <w:pPr>
              <w:widowControl/>
              <w:jc w:val="center"/>
              <w:rPr>
                <w:color w:val="000000"/>
                <w:kern w:val="0"/>
                <w:sz w:val="24"/>
                <w:szCs w:val="24"/>
              </w:rPr>
            </w:pPr>
          </w:p>
        </w:tc>
        <w:tc>
          <w:tcPr>
            <w:tcW w:w="1096" w:type="dxa"/>
            <w:vMerge w:val="continue"/>
            <w:tcBorders>
              <w:bottom w:val="nil"/>
            </w:tcBorders>
            <w:vAlign w:val="center"/>
          </w:tcPr>
          <w:p>
            <w:pPr>
              <w:widowControl/>
              <w:jc w:val="center"/>
              <w:rPr>
                <w:color w:val="000000"/>
                <w:kern w:val="0"/>
                <w:sz w:val="24"/>
                <w:szCs w:val="24"/>
              </w:rPr>
            </w:pPr>
          </w:p>
        </w:tc>
        <w:tc>
          <w:tcPr>
            <w:tcW w:w="2836" w:type="dxa"/>
            <w:vAlign w:val="center"/>
          </w:tcPr>
          <w:p>
            <w:pPr>
              <w:pStyle w:val="16"/>
              <w:adjustRightInd w:val="0"/>
              <w:snapToGrid w:val="0"/>
              <w:ind w:firstLine="0" w:firstLineChars="0"/>
              <w:rPr>
                <w:rFonts w:ascii="宋体" w:hAnsi="Calibri" w:cs="宋体"/>
                <w:i/>
                <w:iCs/>
                <w:color w:val="000000"/>
                <w:kern w:val="0"/>
                <w:szCs w:val="22"/>
              </w:rPr>
            </w:pPr>
            <w:r>
              <w:rPr>
                <w:rFonts w:hint="eastAsia" w:ascii="宋体" w:cs="宋体"/>
                <w:color w:val="000000"/>
              </w:rPr>
              <w:t>（53）确保运输工具的驾驶人员经过培训，保证运输工具和货物、物品的安全。</w:t>
            </w:r>
          </w:p>
        </w:tc>
        <w:tc>
          <w:tcPr>
            <w:tcW w:w="3705" w:type="dxa"/>
            <w:vMerge w:val="continue"/>
            <w:tcBorders>
              <w:bottom w:val="nil"/>
            </w:tcBorders>
            <w:vAlign w:val="center"/>
          </w:tcPr>
          <w:p>
            <w:pPr>
              <w:jc w:val="left"/>
              <w:rPr>
                <w:kern w:val="0"/>
                <w:szCs w:val="21"/>
              </w:rPr>
            </w:pPr>
          </w:p>
        </w:tc>
        <w:tc>
          <w:tcPr>
            <w:tcW w:w="3909" w:type="dxa"/>
            <w:vMerge w:val="continue"/>
            <w:vAlign w:val="center"/>
          </w:tcPr>
          <w:p>
            <w:pPr>
              <w:widowControl/>
              <w:rPr>
                <w:rFonts w:ascii="宋体"/>
                <w:color w:val="000000"/>
                <w:kern w:val="0"/>
              </w:rPr>
            </w:pPr>
          </w:p>
        </w:tc>
        <w:tc>
          <w:tcPr>
            <w:tcW w:w="3320" w:type="dxa"/>
            <w:gridSpan w:val="2"/>
            <w:vMerge w:val="continue"/>
            <w:vAlign w:val="center"/>
          </w:tcPr>
          <w:p>
            <w:pPr>
              <w:widowControl/>
              <w:jc w:val="center"/>
              <w:rPr>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976" w:type="dxa"/>
            <w:vMerge w:val="restart"/>
            <w:vAlign w:val="center"/>
          </w:tcPr>
          <w:p>
            <w:pPr>
              <w:widowControl/>
              <w:jc w:val="center"/>
              <w:rPr>
                <w:color w:val="000000"/>
                <w:kern w:val="0"/>
                <w:sz w:val="24"/>
                <w:szCs w:val="24"/>
              </w:rPr>
            </w:pPr>
          </w:p>
        </w:tc>
        <w:tc>
          <w:tcPr>
            <w:tcW w:w="1096" w:type="dxa"/>
            <w:vMerge w:val="restart"/>
            <w:vAlign w:val="center"/>
          </w:tcPr>
          <w:p>
            <w:pPr>
              <w:widowControl/>
              <w:jc w:val="center"/>
              <w:rPr>
                <w:color w:val="000000"/>
                <w:kern w:val="0"/>
                <w:sz w:val="24"/>
                <w:szCs w:val="24"/>
              </w:rPr>
            </w:pPr>
            <w:r>
              <w:rPr>
                <w:rFonts w:hint="eastAsia" w:ascii="宋体" w:cs="宋体"/>
                <w:bCs/>
                <w:color w:val="000000"/>
                <w:kern w:val="0"/>
                <w:sz w:val="24"/>
              </w:rPr>
              <w:t>15.商业伙伴安全</w:t>
            </w:r>
          </w:p>
        </w:tc>
        <w:tc>
          <w:tcPr>
            <w:tcW w:w="2836" w:type="dxa"/>
            <w:vAlign w:val="center"/>
          </w:tcPr>
          <w:p>
            <w:pPr>
              <w:pStyle w:val="16"/>
              <w:adjustRightInd w:val="0"/>
              <w:snapToGrid w:val="0"/>
              <w:ind w:firstLine="0" w:firstLineChars="0"/>
              <w:rPr>
                <w:color w:val="000000"/>
              </w:rPr>
            </w:pPr>
            <w:r>
              <w:rPr>
                <w:rFonts w:hint="eastAsia" w:ascii="宋体" w:cs="宋体"/>
                <w:color w:val="000000"/>
                <w:kern w:val="0"/>
              </w:rPr>
              <w:t>本标准所称商业伙伴是指与进出口相关的商业伙伴。商业伙伴系海关高级认证企业的，企业可以免于对该商业伙伴执行本项标准。</w:t>
            </w:r>
          </w:p>
        </w:tc>
        <w:tc>
          <w:tcPr>
            <w:tcW w:w="3705" w:type="dxa"/>
            <w:vAlign w:val="center"/>
          </w:tcPr>
          <w:p>
            <w:pPr>
              <w:widowControl/>
              <w:jc w:val="left"/>
              <w:rPr>
                <w:kern w:val="0"/>
                <w:sz w:val="24"/>
                <w:szCs w:val="24"/>
              </w:rPr>
            </w:pPr>
          </w:p>
        </w:tc>
        <w:tc>
          <w:tcPr>
            <w:tcW w:w="3909" w:type="dxa"/>
            <w:vMerge w:val="restart"/>
            <w:vAlign w:val="center"/>
          </w:tcPr>
          <w:p>
            <w:pPr>
              <w:rPr>
                <w:rFonts w:ascii="宋体"/>
                <w:color w:val="000000"/>
                <w:kern w:val="0"/>
              </w:rPr>
            </w:pPr>
          </w:p>
          <w:p>
            <w:pPr>
              <w:rPr>
                <w:rFonts w:ascii="宋体"/>
                <w:color w:val="000000"/>
                <w:kern w:val="0"/>
              </w:rPr>
            </w:pPr>
          </w:p>
        </w:tc>
        <w:tc>
          <w:tcPr>
            <w:tcW w:w="3320" w:type="dxa"/>
            <w:gridSpan w:val="2"/>
            <w:vMerge w:val="restart"/>
            <w:vAlign w:val="center"/>
          </w:tcPr>
          <w:p>
            <w:pPr>
              <w:widowControl/>
              <w:jc w:val="center"/>
              <w:rPr>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976" w:type="dxa"/>
            <w:vMerge w:val="continue"/>
            <w:vAlign w:val="center"/>
          </w:tcPr>
          <w:p>
            <w:pPr>
              <w:widowControl/>
              <w:jc w:val="center"/>
              <w:rPr>
                <w:color w:val="000000"/>
                <w:kern w:val="0"/>
                <w:sz w:val="24"/>
                <w:szCs w:val="24"/>
              </w:rPr>
            </w:pPr>
          </w:p>
        </w:tc>
        <w:tc>
          <w:tcPr>
            <w:tcW w:w="1096" w:type="dxa"/>
            <w:vMerge w:val="continue"/>
            <w:vAlign w:val="center"/>
          </w:tcPr>
          <w:p>
            <w:pPr>
              <w:widowControl/>
              <w:jc w:val="center"/>
              <w:rPr>
                <w:rFonts w:ascii="宋体"/>
                <w:i/>
                <w:color w:val="000000"/>
                <w:kern w:val="0"/>
              </w:rPr>
            </w:pPr>
          </w:p>
        </w:tc>
        <w:tc>
          <w:tcPr>
            <w:tcW w:w="2836" w:type="dxa"/>
            <w:vAlign w:val="center"/>
          </w:tcPr>
          <w:p>
            <w:pPr>
              <w:adjustRightInd w:val="0"/>
              <w:snapToGrid w:val="0"/>
              <w:rPr>
                <w:rFonts w:ascii="宋体" w:cs="宋体"/>
                <w:i/>
                <w:iCs/>
                <w:color w:val="000000"/>
                <w:kern w:val="0"/>
              </w:rPr>
            </w:pPr>
            <w:r>
              <w:rPr>
                <w:rFonts w:hint="eastAsia" w:ascii="宋体" w:cs="宋体"/>
                <w:color w:val="000000"/>
                <w:kern w:val="0"/>
                <w:szCs w:val="21"/>
              </w:rPr>
              <w:t>（54）建立并执行评估、检查商业伙伴供应链安全的管理制度。</w:t>
            </w:r>
          </w:p>
        </w:tc>
        <w:tc>
          <w:tcPr>
            <w:tcW w:w="3705" w:type="dxa"/>
            <w:vAlign w:val="center"/>
          </w:tcPr>
          <w:p>
            <w:pPr>
              <w:widowControl/>
              <w:jc w:val="left"/>
              <w:rPr>
                <w:color w:val="FF0000"/>
                <w:kern w:val="0"/>
                <w:sz w:val="24"/>
                <w:szCs w:val="24"/>
              </w:rPr>
            </w:pPr>
          </w:p>
        </w:tc>
        <w:tc>
          <w:tcPr>
            <w:tcW w:w="3909" w:type="dxa"/>
            <w:vMerge w:val="continue"/>
            <w:vAlign w:val="center"/>
          </w:tcPr>
          <w:p>
            <w:pPr>
              <w:jc w:val="center"/>
              <w:rPr>
                <w:kern w:val="0"/>
                <w:sz w:val="24"/>
                <w:szCs w:val="24"/>
              </w:rPr>
            </w:pPr>
          </w:p>
        </w:tc>
        <w:tc>
          <w:tcPr>
            <w:tcW w:w="3320" w:type="dxa"/>
            <w:gridSpan w:val="2"/>
            <w:vMerge w:val="continue"/>
            <w:vAlign w:val="center"/>
          </w:tcPr>
          <w:p>
            <w:pPr>
              <w:widowControl/>
              <w:jc w:val="center"/>
              <w:rPr>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976" w:type="dxa"/>
            <w:vMerge w:val="continue"/>
            <w:vAlign w:val="center"/>
          </w:tcPr>
          <w:p>
            <w:pPr>
              <w:widowControl/>
              <w:jc w:val="center"/>
              <w:rPr>
                <w:color w:val="000000"/>
                <w:kern w:val="0"/>
                <w:sz w:val="24"/>
                <w:szCs w:val="24"/>
              </w:rPr>
            </w:pPr>
          </w:p>
        </w:tc>
        <w:tc>
          <w:tcPr>
            <w:tcW w:w="1096" w:type="dxa"/>
            <w:vMerge w:val="continue"/>
            <w:vAlign w:val="center"/>
          </w:tcPr>
          <w:p>
            <w:pPr>
              <w:widowControl/>
              <w:jc w:val="center"/>
              <w:rPr>
                <w:i/>
                <w:color w:val="000000"/>
                <w:kern w:val="0"/>
                <w:sz w:val="24"/>
                <w:szCs w:val="24"/>
              </w:rPr>
            </w:pPr>
          </w:p>
        </w:tc>
        <w:tc>
          <w:tcPr>
            <w:tcW w:w="2836" w:type="dxa"/>
            <w:vAlign w:val="center"/>
          </w:tcPr>
          <w:p>
            <w:pPr>
              <w:adjustRightInd w:val="0"/>
              <w:snapToGrid w:val="0"/>
              <w:rPr>
                <w:rFonts w:hint="eastAsia" w:ascii="宋体" w:cs="宋体"/>
                <w:i/>
                <w:iCs/>
                <w:color w:val="000000"/>
                <w:kern w:val="0"/>
              </w:rPr>
            </w:pPr>
            <w:r>
              <w:rPr>
                <w:rFonts w:hint="eastAsia" w:ascii="宋体" w:cs="宋体"/>
                <w:color w:val="000000"/>
                <w:kern w:val="0"/>
              </w:rPr>
              <w:t>（55）</w:t>
            </w:r>
            <w:r>
              <w:rPr>
                <w:rFonts w:hint="eastAsia" w:ascii="宋体" w:cs="宋体"/>
                <w:color w:val="000000"/>
              </w:rPr>
              <w:t>在筛选商业伙伴时根据本认证标准对商业伙伴进行全面评估，重点评估守法合规、贸易安全和供货资质。</w:t>
            </w:r>
          </w:p>
        </w:tc>
        <w:tc>
          <w:tcPr>
            <w:tcW w:w="3705" w:type="dxa"/>
            <w:vAlign w:val="center"/>
          </w:tcPr>
          <w:p>
            <w:pPr>
              <w:widowControl/>
              <w:jc w:val="left"/>
              <w:rPr>
                <w:color w:val="FF0000"/>
                <w:kern w:val="0"/>
                <w:sz w:val="24"/>
                <w:szCs w:val="24"/>
              </w:rPr>
            </w:pPr>
          </w:p>
        </w:tc>
        <w:tc>
          <w:tcPr>
            <w:tcW w:w="3909" w:type="dxa"/>
            <w:vMerge w:val="continue"/>
            <w:vAlign w:val="center"/>
          </w:tcPr>
          <w:p>
            <w:pPr>
              <w:widowControl/>
              <w:jc w:val="center"/>
              <w:rPr>
                <w:kern w:val="0"/>
                <w:sz w:val="24"/>
                <w:szCs w:val="24"/>
              </w:rPr>
            </w:pPr>
          </w:p>
        </w:tc>
        <w:tc>
          <w:tcPr>
            <w:tcW w:w="3320" w:type="dxa"/>
            <w:gridSpan w:val="2"/>
            <w:vMerge w:val="continue"/>
            <w:vAlign w:val="center"/>
          </w:tcPr>
          <w:p>
            <w:pPr>
              <w:widowControl/>
              <w:jc w:val="center"/>
              <w:rPr>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976" w:type="dxa"/>
            <w:vMerge w:val="continue"/>
            <w:vAlign w:val="center"/>
          </w:tcPr>
          <w:p>
            <w:pPr>
              <w:widowControl/>
              <w:jc w:val="center"/>
              <w:rPr>
                <w:color w:val="000000"/>
                <w:kern w:val="0"/>
                <w:sz w:val="24"/>
                <w:szCs w:val="24"/>
              </w:rPr>
            </w:pPr>
          </w:p>
        </w:tc>
        <w:tc>
          <w:tcPr>
            <w:tcW w:w="1096" w:type="dxa"/>
            <w:vMerge w:val="continue"/>
            <w:vAlign w:val="center"/>
          </w:tcPr>
          <w:p>
            <w:pPr>
              <w:widowControl/>
              <w:jc w:val="center"/>
              <w:rPr>
                <w:i/>
                <w:color w:val="000000"/>
                <w:kern w:val="0"/>
                <w:sz w:val="24"/>
                <w:szCs w:val="24"/>
              </w:rPr>
            </w:pPr>
          </w:p>
        </w:tc>
        <w:tc>
          <w:tcPr>
            <w:tcW w:w="2836" w:type="dxa"/>
            <w:vAlign w:val="center"/>
          </w:tcPr>
          <w:p>
            <w:pPr>
              <w:adjustRightInd w:val="0"/>
              <w:snapToGrid w:val="0"/>
              <w:rPr>
                <w:rFonts w:ascii="宋体" w:cs="宋体"/>
                <w:i/>
                <w:iCs/>
                <w:color w:val="000000"/>
                <w:kern w:val="0"/>
              </w:rPr>
            </w:pPr>
            <w:r>
              <w:rPr>
                <w:rFonts w:hint="eastAsia" w:ascii="宋体" w:cs="宋体"/>
                <w:color w:val="000000"/>
                <w:kern w:val="0"/>
              </w:rPr>
              <w:t>（56）企业应当</w:t>
            </w:r>
            <w:r>
              <w:rPr>
                <w:rFonts w:hint="eastAsia" w:ascii="宋体" w:cs="宋体"/>
                <w:color w:val="000000"/>
              </w:rPr>
              <w:t>在合同、协议或者其他书面资料中建议商业伙伴按照本认证标准优化和完善贸易安全管理</w:t>
            </w:r>
            <w:r>
              <w:rPr>
                <w:rFonts w:hint="eastAsia" w:ascii="宋体" w:cs="宋体"/>
                <w:snapToGrid w:val="0"/>
                <w:color w:val="000000"/>
              </w:rPr>
              <w:t>，以加强全球</w:t>
            </w:r>
            <w:r>
              <w:rPr>
                <w:rFonts w:hint="eastAsia" w:ascii="宋体" w:cs="宋体"/>
                <w:snapToGrid w:val="0"/>
                <w:color w:val="000000"/>
                <w:kern w:val="0"/>
              </w:rPr>
              <w:t>供应链的安全性。</w:t>
            </w:r>
          </w:p>
        </w:tc>
        <w:tc>
          <w:tcPr>
            <w:tcW w:w="3705" w:type="dxa"/>
            <w:vAlign w:val="center"/>
          </w:tcPr>
          <w:p>
            <w:pPr>
              <w:widowControl/>
              <w:jc w:val="left"/>
              <w:rPr>
                <w:color w:val="FF0000"/>
                <w:kern w:val="0"/>
                <w:sz w:val="24"/>
                <w:szCs w:val="24"/>
              </w:rPr>
            </w:pPr>
          </w:p>
        </w:tc>
        <w:tc>
          <w:tcPr>
            <w:tcW w:w="3909" w:type="dxa"/>
            <w:vMerge w:val="continue"/>
            <w:vAlign w:val="center"/>
          </w:tcPr>
          <w:p>
            <w:pPr>
              <w:widowControl/>
              <w:jc w:val="center"/>
              <w:rPr>
                <w:kern w:val="0"/>
                <w:sz w:val="24"/>
                <w:szCs w:val="24"/>
              </w:rPr>
            </w:pPr>
          </w:p>
        </w:tc>
        <w:tc>
          <w:tcPr>
            <w:tcW w:w="3320" w:type="dxa"/>
            <w:gridSpan w:val="2"/>
            <w:vMerge w:val="continue"/>
            <w:vAlign w:val="center"/>
          </w:tcPr>
          <w:p>
            <w:pPr>
              <w:widowControl/>
              <w:jc w:val="center"/>
              <w:rPr>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5" w:hRule="atLeast"/>
        </w:trPr>
        <w:tc>
          <w:tcPr>
            <w:tcW w:w="976" w:type="dxa"/>
            <w:vMerge w:val="continue"/>
            <w:tcBorders>
              <w:bottom w:val="single" w:color="auto" w:sz="4" w:space="0"/>
            </w:tcBorders>
            <w:vAlign w:val="center"/>
          </w:tcPr>
          <w:p>
            <w:pPr>
              <w:widowControl/>
              <w:jc w:val="center"/>
              <w:rPr>
                <w:color w:val="000000"/>
                <w:kern w:val="0"/>
                <w:sz w:val="24"/>
                <w:szCs w:val="24"/>
              </w:rPr>
            </w:pPr>
          </w:p>
        </w:tc>
        <w:tc>
          <w:tcPr>
            <w:tcW w:w="1096" w:type="dxa"/>
            <w:vMerge w:val="continue"/>
            <w:tcBorders>
              <w:bottom w:val="single" w:color="auto" w:sz="4" w:space="0"/>
            </w:tcBorders>
            <w:vAlign w:val="center"/>
          </w:tcPr>
          <w:p>
            <w:pPr>
              <w:widowControl/>
              <w:rPr>
                <w:color w:val="000000"/>
                <w:kern w:val="0"/>
                <w:sz w:val="24"/>
                <w:szCs w:val="24"/>
              </w:rPr>
            </w:pPr>
          </w:p>
        </w:tc>
        <w:tc>
          <w:tcPr>
            <w:tcW w:w="2836" w:type="dxa"/>
            <w:vAlign w:val="center"/>
          </w:tcPr>
          <w:p>
            <w:pPr>
              <w:adjustRightInd w:val="0"/>
              <w:snapToGrid w:val="0"/>
              <w:rPr>
                <w:rFonts w:ascii="宋体" w:cs="宋体"/>
                <w:i/>
                <w:iCs/>
                <w:color w:val="000000"/>
                <w:kern w:val="0"/>
              </w:rPr>
            </w:pPr>
            <w:r>
              <w:rPr>
                <w:rFonts w:hint="eastAsia" w:ascii="宋体" w:cs="宋体"/>
                <w:color w:val="000000"/>
                <w:kern w:val="0"/>
              </w:rPr>
              <w:t>（57）</w:t>
            </w:r>
            <w:r>
              <w:rPr>
                <w:rFonts w:hint="eastAsia" w:ascii="宋体" w:cs="宋体"/>
                <w:color w:val="000000"/>
              </w:rPr>
              <w:t>定期监控或者检查商业伙伴遵守贸易安全要求的情况。</w:t>
            </w:r>
          </w:p>
        </w:tc>
        <w:tc>
          <w:tcPr>
            <w:tcW w:w="3705" w:type="dxa"/>
            <w:vAlign w:val="center"/>
          </w:tcPr>
          <w:p>
            <w:pPr>
              <w:widowControl/>
              <w:jc w:val="left"/>
              <w:rPr>
                <w:kern w:val="0"/>
                <w:szCs w:val="21"/>
              </w:rPr>
            </w:pPr>
          </w:p>
        </w:tc>
        <w:tc>
          <w:tcPr>
            <w:tcW w:w="3909" w:type="dxa"/>
            <w:vMerge w:val="continue"/>
            <w:tcBorders>
              <w:bottom w:val="single" w:color="auto" w:sz="4" w:space="0"/>
            </w:tcBorders>
            <w:vAlign w:val="center"/>
          </w:tcPr>
          <w:p>
            <w:pPr>
              <w:widowControl/>
              <w:jc w:val="left"/>
              <w:rPr>
                <w:kern w:val="0"/>
                <w:szCs w:val="21"/>
              </w:rPr>
            </w:pPr>
          </w:p>
        </w:tc>
        <w:tc>
          <w:tcPr>
            <w:tcW w:w="3320" w:type="dxa"/>
            <w:gridSpan w:val="2"/>
            <w:vMerge w:val="continue"/>
            <w:vAlign w:val="center"/>
          </w:tcPr>
          <w:p>
            <w:pPr>
              <w:widowControl/>
              <w:jc w:val="center"/>
              <w:rPr>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trPr>
        <w:tc>
          <w:tcPr>
            <w:tcW w:w="976" w:type="dxa"/>
            <w:vMerge w:val="restart"/>
            <w:tcBorders>
              <w:right w:val="single" w:color="auto" w:sz="4" w:space="0"/>
            </w:tcBorders>
            <w:vAlign w:val="center"/>
          </w:tcPr>
          <w:p>
            <w:pPr>
              <w:widowControl/>
              <w:jc w:val="center"/>
              <w:rPr>
                <w:color w:val="000000"/>
                <w:kern w:val="0"/>
                <w:sz w:val="24"/>
                <w:szCs w:val="24"/>
              </w:rPr>
            </w:pPr>
          </w:p>
        </w:tc>
        <w:tc>
          <w:tcPr>
            <w:tcW w:w="1096" w:type="dxa"/>
            <w:vMerge w:val="restart"/>
            <w:tcBorders>
              <w:top w:val="single" w:color="auto" w:sz="4" w:space="0"/>
              <w:left w:val="single" w:color="auto" w:sz="4" w:space="0"/>
              <w:bottom w:val="single" w:color="auto" w:sz="4" w:space="0"/>
              <w:right w:val="single" w:color="auto" w:sz="4" w:space="0"/>
            </w:tcBorders>
            <w:vAlign w:val="center"/>
          </w:tcPr>
          <w:p>
            <w:pPr>
              <w:widowControl/>
              <w:rPr>
                <w:color w:val="000000"/>
                <w:kern w:val="0"/>
                <w:sz w:val="24"/>
                <w:szCs w:val="24"/>
              </w:rPr>
            </w:pPr>
            <w:r>
              <w:rPr>
                <w:rFonts w:hint="eastAsia" w:ascii="宋体" w:cs="宋体"/>
                <w:bCs/>
                <w:color w:val="000000"/>
                <w:kern w:val="0"/>
                <w:sz w:val="24"/>
              </w:rPr>
              <w:t>16.海关业务和贸易安全培训</w:t>
            </w:r>
          </w:p>
        </w:tc>
        <w:tc>
          <w:tcPr>
            <w:tcW w:w="2836" w:type="dxa"/>
            <w:tcBorders>
              <w:left w:val="single" w:color="auto" w:sz="4" w:space="0"/>
            </w:tcBorders>
            <w:vAlign w:val="center"/>
          </w:tcPr>
          <w:p>
            <w:pPr>
              <w:adjustRightInd w:val="0"/>
              <w:snapToGrid w:val="0"/>
              <w:rPr>
                <w:rFonts w:ascii="宋体"/>
                <w:color w:val="000000"/>
                <w:szCs w:val="21"/>
              </w:rPr>
            </w:pPr>
            <w:r>
              <w:rPr>
                <w:rFonts w:hint="eastAsia" w:ascii="宋体" w:cs="宋体"/>
                <w:color w:val="000000"/>
              </w:rPr>
              <w:t>（58）建立并执行海关法律法规等相关规定和贸易安全相关知识的内部培训制度。</w:t>
            </w:r>
          </w:p>
        </w:tc>
        <w:tc>
          <w:tcPr>
            <w:tcW w:w="3705" w:type="dxa"/>
            <w:vAlign w:val="center"/>
          </w:tcPr>
          <w:p>
            <w:pPr>
              <w:pStyle w:val="19"/>
              <w:widowControl/>
              <w:ind w:left="360" w:firstLine="0" w:firstLineChars="0"/>
              <w:jc w:val="left"/>
              <w:rPr>
                <w:color w:val="FF0000"/>
                <w:kern w:val="0"/>
                <w:szCs w:val="21"/>
              </w:rPr>
            </w:pPr>
          </w:p>
        </w:tc>
        <w:tc>
          <w:tcPr>
            <w:tcW w:w="3909" w:type="dxa"/>
            <w:vMerge w:val="restart"/>
            <w:vAlign w:val="center"/>
          </w:tcPr>
          <w:p>
            <w:pPr>
              <w:pStyle w:val="19"/>
              <w:widowControl/>
              <w:ind w:left="360" w:firstLine="0" w:firstLineChars="0"/>
              <w:jc w:val="left"/>
              <w:rPr>
                <w:rFonts w:ascii="宋体"/>
                <w:kern w:val="0"/>
                <w:szCs w:val="21"/>
              </w:rPr>
            </w:pPr>
          </w:p>
        </w:tc>
        <w:tc>
          <w:tcPr>
            <w:tcW w:w="3320" w:type="dxa"/>
            <w:gridSpan w:val="2"/>
            <w:vMerge w:val="restart"/>
            <w:vAlign w:val="center"/>
          </w:tcPr>
          <w:p>
            <w:pPr>
              <w:widowControl/>
              <w:jc w:val="center"/>
              <w:rPr>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7" w:hRule="atLeast"/>
        </w:trPr>
        <w:tc>
          <w:tcPr>
            <w:tcW w:w="976" w:type="dxa"/>
            <w:vMerge w:val="continue"/>
            <w:tcBorders>
              <w:right w:val="single" w:color="auto" w:sz="4" w:space="0"/>
            </w:tcBorders>
            <w:vAlign w:val="center"/>
          </w:tcPr>
          <w:p>
            <w:pPr>
              <w:widowControl/>
              <w:jc w:val="center"/>
              <w:rPr>
                <w:color w:val="000000"/>
                <w:kern w:val="0"/>
                <w:sz w:val="24"/>
                <w:szCs w:val="24"/>
              </w:rPr>
            </w:pPr>
          </w:p>
        </w:tc>
        <w:tc>
          <w:tcPr>
            <w:tcW w:w="1096" w:type="dxa"/>
            <w:vMerge w:val="continue"/>
            <w:tcBorders>
              <w:top w:val="single" w:color="auto" w:sz="4" w:space="0"/>
              <w:left w:val="single" w:color="auto" w:sz="4" w:space="0"/>
              <w:bottom w:val="single" w:color="auto" w:sz="4" w:space="0"/>
              <w:right w:val="single" w:color="auto" w:sz="4" w:space="0"/>
            </w:tcBorders>
            <w:vAlign w:val="center"/>
          </w:tcPr>
          <w:p>
            <w:pPr>
              <w:widowControl/>
              <w:rPr>
                <w:i/>
                <w:color w:val="000000"/>
                <w:kern w:val="0"/>
                <w:sz w:val="24"/>
                <w:szCs w:val="24"/>
              </w:rPr>
            </w:pPr>
          </w:p>
        </w:tc>
        <w:tc>
          <w:tcPr>
            <w:tcW w:w="2836" w:type="dxa"/>
            <w:tcBorders>
              <w:left w:val="single" w:color="auto" w:sz="4" w:space="0"/>
            </w:tcBorders>
            <w:vAlign w:val="center"/>
          </w:tcPr>
          <w:p>
            <w:pPr>
              <w:adjustRightInd w:val="0"/>
              <w:snapToGrid w:val="0"/>
              <w:rPr>
                <w:rFonts w:ascii="宋体" w:cs="宋体"/>
                <w:i/>
                <w:iCs/>
                <w:color w:val="000000"/>
                <w:kern w:val="0"/>
              </w:rPr>
            </w:pPr>
            <w:r>
              <w:rPr>
                <w:rFonts w:hint="eastAsia" w:ascii="宋体" w:cs="宋体"/>
                <w:color w:val="000000"/>
              </w:rPr>
              <w:t>（59）定期对与进出口活动相关岗位的员工进行海关法律法规等相关规定的培训，及时了解、掌握海关最新的政策文件要求。法定代表人（负责人）、负责关务的高级管理人员、关务负责人、负责贸易安全的高级管理人员应当每年参加至少2次培训。</w:t>
            </w:r>
          </w:p>
        </w:tc>
        <w:tc>
          <w:tcPr>
            <w:tcW w:w="3705" w:type="dxa"/>
            <w:vAlign w:val="center"/>
          </w:tcPr>
          <w:p>
            <w:pPr>
              <w:widowControl/>
              <w:jc w:val="left"/>
              <w:rPr>
                <w:color w:val="FF0000"/>
                <w:kern w:val="0"/>
                <w:szCs w:val="21"/>
              </w:rPr>
            </w:pPr>
          </w:p>
        </w:tc>
        <w:tc>
          <w:tcPr>
            <w:tcW w:w="3909" w:type="dxa"/>
            <w:vMerge w:val="continue"/>
            <w:tcBorders>
              <w:bottom w:val="single" w:color="auto" w:sz="4" w:space="0"/>
            </w:tcBorders>
            <w:vAlign w:val="center"/>
          </w:tcPr>
          <w:p>
            <w:pPr>
              <w:widowControl/>
              <w:jc w:val="center"/>
              <w:rPr>
                <w:kern w:val="0"/>
                <w:sz w:val="24"/>
                <w:szCs w:val="24"/>
              </w:rPr>
            </w:pPr>
          </w:p>
        </w:tc>
        <w:tc>
          <w:tcPr>
            <w:tcW w:w="3320" w:type="dxa"/>
            <w:gridSpan w:val="2"/>
            <w:vMerge w:val="continue"/>
            <w:vAlign w:val="center"/>
          </w:tcPr>
          <w:p>
            <w:pPr>
              <w:widowControl/>
              <w:jc w:val="center"/>
              <w:rPr>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2" w:hRule="atLeast"/>
        </w:trPr>
        <w:tc>
          <w:tcPr>
            <w:tcW w:w="976" w:type="dxa"/>
            <w:vMerge w:val="continue"/>
            <w:tcBorders>
              <w:right w:val="single" w:color="auto" w:sz="4" w:space="0"/>
            </w:tcBorders>
            <w:vAlign w:val="center"/>
          </w:tcPr>
          <w:p>
            <w:pPr>
              <w:widowControl/>
              <w:jc w:val="center"/>
              <w:rPr>
                <w:color w:val="000000"/>
                <w:kern w:val="0"/>
                <w:sz w:val="24"/>
                <w:szCs w:val="24"/>
              </w:rPr>
            </w:pPr>
          </w:p>
        </w:tc>
        <w:tc>
          <w:tcPr>
            <w:tcW w:w="1096"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4"/>
                <w:szCs w:val="24"/>
              </w:rPr>
            </w:pPr>
          </w:p>
        </w:tc>
        <w:tc>
          <w:tcPr>
            <w:tcW w:w="2836" w:type="dxa"/>
            <w:tcBorders>
              <w:left w:val="single" w:color="auto" w:sz="4" w:space="0"/>
            </w:tcBorders>
            <w:vAlign w:val="center"/>
          </w:tcPr>
          <w:p>
            <w:pPr>
              <w:widowControl/>
              <w:rPr>
                <w:rFonts w:ascii="宋体" w:cs="宋体"/>
                <w:i/>
                <w:iCs/>
                <w:color w:val="000000"/>
                <w:kern w:val="0"/>
              </w:rPr>
            </w:pPr>
            <w:r>
              <w:rPr>
                <w:rFonts w:hint="eastAsia" w:ascii="宋体" w:cs="宋体"/>
                <w:color w:val="000000"/>
              </w:rPr>
              <w:t>（60）定期对员工进行与国际贸易供应链中货物流动相关风险的教育和培训，让员工了解、掌握海关高级认证企业在保证货物、物品安全过程中应做的工作。</w:t>
            </w:r>
          </w:p>
        </w:tc>
        <w:tc>
          <w:tcPr>
            <w:tcW w:w="3705" w:type="dxa"/>
            <w:vAlign w:val="center"/>
          </w:tcPr>
          <w:p>
            <w:pPr>
              <w:widowControl/>
              <w:jc w:val="left"/>
              <w:rPr>
                <w:color w:val="FF0000"/>
                <w:kern w:val="0"/>
                <w:szCs w:val="21"/>
              </w:rPr>
            </w:pPr>
          </w:p>
        </w:tc>
        <w:tc>
          <w:tcPr>
            <w:tcW w:w="3909" w:type="dxa"/>
            <w:tcBorders>
              <w:top w:val="single" w:color="auto" w:sz="4" w:space="0"/>
            </w:tcBorders>
            <w:vAlign w:val="center"/>
          </w:tcPr>
          <w:p>
            <w:pPr>
              <w:widowControl/>
              <w:rPr>
                <w:rFonts w:ascii="宋体"/>
                <w:kern w:val="0"/>
                <w:szCs w:val="21"/>
              </w:rPr>
            </w:pPr>
          </w:p>
        </w:tc>
        <w:tc>
          <w:tcPr>
            <w:tcW w:w="3320" w:type="dxa"/>
            <w:gridSpan w:val="2"/>
            <w:vMerge w:val="continue"/>
            <w:vAlign w:val="center"/>
          </w:tcPr>
          <w:p>
            <w:pPr>
              <w:widowControl/>
              <w:jc w:val="center"/>
              <w:rPr>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2" w:hRule="atLeast"/>
        </w:trPr>
        <w:tc>
          <w:tcPr>
            <w:tcW w:w="976" w:type="dxa"/>
            <w:vMerge w:val="continue"/>
            <w:tcBorders>
              <w:right w:val="single" w:color="auto" w:sz="4" w:space="0"/>
            </w:tcBorders>
            <w:vAlign w:val="center"/>
          </w:tcPr>
          <w:p>
            <w:pPr>
              <w:widowControl/>
              <w:jc w:val="center"/>
              <w:rPr>
                <w:color w:val="000000"/>
                <w:kern w:val="0"/>
                <w:sz w:val="24"/>
                <w:szCs w:val="24"/>
              </w:rPr>
            </w:pPr>
          </w:p>
        </w:tc>
        <w:tc>
          <w:tcPr>
            <w:tcW w:w="1096"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4"/>
                <w:szCs w:val="24"/>
              </w:rPr>
            </w:pPr>
          </w:p>
        </w:tc>
        <w:tc>
          <w:tcPr>
            <w:tcW w:w="2836" w:type="dxa"/>
            <w:tcBorders>
              <w:left w:val="single" w:color="auto" w:sz="4" w:space="0"/>
            </w:tcBorders>
            <w:vAlign w:val="center"/>
          </w:tcPr>
          <w:p>
            <w:pPr>
              <w:widowControl/>
              <w:rPr>
                <w:rFonts w:ascii="宋体" w:cs="宋体"/>
                <w:i/>
                <w:iCs/>
                <w:color w:val="000000"/>
                <w:kern w:val="0"/>
              </w:rPr>
            </w:pPr>
            <w:r>
              <w:rPr>
                <w:rFonts w:hint="eastAsia" w:ascii="宋体" w:cs="宋体"/>
                <w:color w:val="000000"/>
              </w:rPr>
              <w:t>（61）定期对员工进行危机管理的培训和危机处理模拟演练，让员工了解、掌握在应急处置和异常报告过程中应做的工作。</w:t>
            </w:r>
          </w:p>
        </w:tc>
        <w:tc>
          <w:tcPr>
            <w:tcW w:w="3705" w:type="dxa"/>
            <w:vAlign w:val="center"/>
          </w:tcPr>
          <w:p>
            <w:pPr>
              <w:widowControl/>
              <w:jc w:val="left"/>
              <w:rPr>
                <w:color w:val="FF0000"/>
                <w:kern w:val="0"/>
                <w:szCs w:val="21"/>
              </w:rPr>
            </w:pPr>
          </w:p>
        </w:tc>
        <w:tc>
          <w:tcPr>
            <w:tcW w:w="3909" w:type="dxa"/>
            <w:tcBorders>
              <w:top w:val="single" w:color="auto" w:sz="4" w:space="0"/>
            </w:tcBorders>
            <w:vAlign w:val="center"/>
          </w:tcPr>
          <w:p>
            <w:pPr>
              <w:widowControl/>
              <w:rPr>
                <w:rFonts w:ascii="宋体"/>
                <w:kern w:val="0"/>
                <w:szCs w:val="21"/>
              </w:rPr>
            </w:pPr>
          </w:p>
        </w:tc>
        <w:tc>
          <w:tcPr>
            <w:tcW w:w="3320" w:type="dxa"/>
            <w:gridSpan w:val="2"/>
            <w:vMerge w:val="continue"/>
            <w:vAlign w:val="center"/>
          </w:tcPr>
          <w:p>
            <w:pPr>
              <w:widowControl/>
              <w:jc w:val="center"/>
              <w:rPr>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2" w:hRule="atLeast"/>
        </w:trPr>
        <w:tc>
          <w:tcPr>
            <w:tcW w:w="976" w:type="dxa"/>
            <w:vMerge w:val="continue"/>
            <w:tcBorders>
              <w:bottom w:val="single" w:color="auto" w:sz="4" w:space="0"/>
              <w:right w:val="single" w:color="auto" w:sz="4" w:space="0"/>
            </w:tcBorders>
            <w:vAlign w:val="center"/>
          </w:tcPr>
          <w:p>
            <w:pPr>
              <w:widowControl/>
              <w:jc w:val="center"/>
              <w:rPr>
                <w:color w:val="000000"/>
                <w:kern w:val="0"/>
                <w:sz w:val="24"/>
                <w:szCs w:val="24"/>
              </w:rPr>
            </w:pPr>
          </w:p>
        </w:tc>
        <w:tc>
          <w:tcPr>
            <w:tcW w:w="1096"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24"/>
                <w:szCs w:val="24"/>
              </w:rPr>
            </w:pPr>
          </w:p>
        </w:tc>
        <w:tc>
          <w:tcPr>
            <w:tcW w:w="2836" w:type="dxa"/>
            <w:tcBorders>
              <w:left w:val="single" w:color="auto" w:sz="4" w:space="0"/>
            </w:tcBorders>
            <w:vAlign w:val="center"/>
          </w:tcPr>
          <w:p>
            <w:pPr>
              <w:widowControl/>
              <w:rPr>
                <w:rFonts w:ascii="宋体" w:cs="宋体"/>
                <w:i/>
                <w:iCs/>
                <w:color w:val="000000"/>
                <w:kern w:val="0"/>
              </w:rPr>
            </w:pPr>
            <w:r>
              <w:rPr>
                <w:rFonts w:hint="eastAsia" w:ascii="宋体" w:cs="宋体"/>
                <w:color w:val="000000"/>
              </w:rPr>
              <w:t>（62）定期对员工进行信息安全和保密意识的教育和培训。</w:t>
            </w:r>
          </w:p>
        </w:tc>
        <w:tc>
          <w:tcPr>
            <w:tcW w:w="3705" w:type="dxa"/>
            <w:vAlign w:val="center"/>
          </w:tcPr>
          <w:p>
            <w:pPr>
              <w:widowControl/>
              <w:jc w:val="left"/>
              <w:rPr>
                <w:color w:val="000000"/>
                <w:kern w:val="0"/>
                <w:szCs w:val="21"/>
              </w:rPr>
            </w:pPr>
          </w:p>
        </w:tc>
        <w:tc>
          <w:tcPr>
            <w:tcW w:w="3909" w:type="dxa"/>
            <w:vAlign w:val="center"/>
          </w:tcPr>
          <w:p>
            <w:pPr>
              <w:widowControl/>
              <w:jc w:val="left"/>
              <w:rPr>
                <w:color w:val="000000"/>
                <w:kern w:val="0"/>
                <w:szCs w:val="21"/>
              </w:rPr>
            </w:pPr>
          </w:p>
        </w:tc>
        <w:tc>
          <w:tcPr>
            <w:tcW w:w="3320" w:type="dxa"/>
            <w:gridSpan w:val="2"/>
            <w:vMerge w:val="continue"/>
            <w:vAlign w:val="center"/>
          </w:tcPr>
          <w:p>
            <w:pPr>
              <w:widowControl/>
              <w:jc w:val="center"/>
              <w:rPr>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1" w:hRule="atLeast"/>
        </w:trPr>
        <w:tc>
          <w:tcPr>
            <w:tcW w:w="976" w:type="dxa"/>
            <w:vAlign w:val="center"/>
          </w:tcPr>
          <w:p>
            <w:pPr>
              <w:widowControl/>
              <w:jc w:val="center"/>
              <w:rPr>
                <w:rFonts w:hint="default" w:eastAsia="宋体"/>
                <w:color w:val="000000"/>
                <w:kern w:val="0"/>
                <w:sz w:val="24"/>
                <w:szCs w:val="24"/>
                <w:lang w:val="en-US" w:eastAsia="zh-CN"/>
              </w:rPr>
            </w:pPr>
            <w:r>
              <w:rPr>
                <w:rFonts w:hint="eastAsia"/>
                <w:color w:val="000000"/>
                <w:kern w:val="0"/>
                <w:sz w:val="24"/>
                <w:szCs w:val="24"/>
                <w:lang w:val="en-US" w:eastAsia="zh-CN"/>
              </w:rPr>
              <w:t>单项标准</w:t>
            </w:r>
          </w:p>
        </w:tc>
        <w:tc>
          <w:tcPr>
            <w:tcW w:w="1096" w:type="dxa"/>
            <w:vAlign w:val="center"/>
          </w:tcPr>
          <w:p>
            <w:pPr>
              <w:widowControl/>
              <w:jc w:val="left"/>
              <w:textAlignment w:val="top"/>
              <w:rPr>
                <w:color w:val="000000"/>
                <w:kern w:val="0"/>
                <w:sz w:val="24"/>
                <w:szCs w:val="24"/>
              </w:rPr>
            </w:pPr>
            <w:r>
              <w:rPr>
                <w:rFonts w:hint="eastAsia" w:ascii="宋体" w:cs="宋体"/>
                <w:color w:val="000000"/>
                <w:kern w:val="0"/>
                <w:sz w:val="24"/>
                <w:lang w:bidi="ar"/>
              </w:rPr>
              <w:t>一、加工贸易以及保税进出口业务</w:t>
            </w:r>
          </w:p>
        </w:tc>
        <w:tc>
          <w:tcPr>
            <w:tcW w:w="2836" w:type="dxa"/>
            <w:vAlign w:val="center"/>
          </w:tcPr>
          <w:p>
            <w:pPr>
              <w:widowControl/>
              <w:jc w:val="left"/>
              <w:textAlignment w:val="top"/>
              <w:rPr>
                <w:rFonts w:ascii="宋体"/>
                <w:color w:val="000000"/>
                <w:kern w:val="0"/>
              </w:rPr>
            </w:pPr>
            <w:r>
              <w:rPr>
                <w:rFonts w:hint="eastAsia" w:ascii="宋体" w:cs="宋体"/>
                <w:color w:val="000000"/>
                <w:kern w:val="0"/>
                <w:szCs w:val="21"/>
                <w:lang w:bidi="ar"/>
              </w:rPr>
              <w:t>1.对与加工贸易或保税货物有关的进口、存储、转让、转移、销售、加工、使用、损耗和出口等情况的账簿、报表以及其他有关单证的准确性、一致性进行内部复核，并保管相关单证资料。</w:t>
            </w:r>
          </w:p>
        </w:tc>
        <w:tc>
          <w:tcPr>
            <w:tcW w:w="3705" w:type="dxa"/>
            <w:vAlign w:val="center"/>
          </w:tcPr>
          <w:p>
            <w:pPr>
              <w:widowControl/>
              <w:jc w:val="left"/>
              <w:rPr>
                <w:color w:val="FF0000"/>
                <w:kern w:val="0"/>
                <w:szCs w:val="21"/>
              </w:rPr>
            </w:pPr>
          </w:p>
        </w:tc>
        <w:tc>
          <w:tcPr>
            <w:tcW w:w="3909" w:type="dxa"/>
            <w:vAlign w:val="center"/>
          </w:tcPr>
          <w:p>
            <w:pPr>
              <w:widowControl/>
              <w:jc w:val="left"/>
              <w:rPr>
                <w:kern w:val="0"/>
                <w:sz w:val="24"/>
                <w:szCs w:val="24"/>
              </w:rPr>
            </w:pPr>
          </w:p>
          <w:p>
            <w:pPr>
              <w:jc w:val="left"/>
              <w:rPr>
                <w:kern w:val="0"/>
                <w:sz w:val="24"/>
                <w:szCs w:val="24"/>
              </w:rPr>
            </w:pPr>
          </w:p>
        </w:tc>
        <w:tc>
          <w:tcPr>
            <w:tcW w:w="3320" w:type="dxa"/>
            <w:gridSpan w:val="2"/>
            <w:vAlign w:val="center"/>
          </w:tcPr>
          <w:p>
            <w:pPr>
              <w:widowControl/>
              <w:jc w:val="center"/>
              <w:rPr>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7" w:hRule="atLeast"/>
        </w:trPr>
        <w:tc>
          <w:tcPr>
            <w:tcW w:w="976" w:type="dxa"/>
            <w:vMerge w:val="restart"/>
            <w:vAlign w:val="center"/>
          </w:tcPr>
          <w:p>
            <w:pPr>
              <w:widowControl/>
              <w:jc w:val="center"/>
              <w:rPr>
                <w:color w:val="000000"/>
                <w:kern w:val="0"/>
                <w:sz w:val="24"/>
                <w:szCs w:val="24"/>
              </w:rPr>
            </w:pPr>
          </w:p>
        </w:tc>
        <w:tc>
          <w:tcPr>
            <w:tcW w:w="1096" w:type="dxa"/>
            <w:vMerge w:val="restart"/>
            <w:vAlign w:val="center"/>
          </w:tcPr>
          <w:p>
            <w:pPr>
              <w:widowControl/>
              <w:jc w:val="left"/>
              <w:textAlignment w:val="top"/>
              <w:rPr>
                <w:rFonts w:hint="eastAsia"/>
                <w:color w:val="000000"/>
                <w:kern w:val="0"/>
                <w:sz w:val="24"/>
                <w:szCs w:val="24"/>
              </w:rPr>
            </w:pPr>
            <w:r>
              <w:rPr>
                <w:rFonts w:hint="eastAsia" w:ascii="宋体" w:cs="宋体"/>
                <w:color w:val="000000"/>
                <w:kern w:val="0"/>
                <w:sz w:val="24"/>
                <w:lang w:bidi="ar"/>
              </w:rPr>
              <w:t>二、卫生检疫业务</w:t>
            </w:r>
          </w:p>
        </w:tc>
        <w:tc>
          <w:tcPr>
            <w:tcW w:w="2836" w:type="dxa"/>
            <w:vAlign w:val="center"/>
          </w:tcPr>
          <w:p>
            <w:pPr>
              <w:widowControl/>
              <w:jc w:val="left"/>
              <w:textAlignment w:val="top"/>
              <w:rPr>
                <w:rFonts w:hint="eastAsia" w:ascii="Calibri" w:hAnsi="Calibri"/>
                <w:sz w:val="21"/>
                <w:szCs w:val="21"/>
              </w:rPr>
            </w:pPr>
            <w:r>
              <w:rPr>
                <w:rFonts w:hint="eastAsia" w:ascii="宋体" w:cs="宋体"/>
                <w:color w:val="000000"/>
                <w:kern w:val="0"/>
                <w:szCs w:val="21"/>
                <w:lang w:bidi="ar"/>
              </w:rPr>
              <w:t>2.涉及出入境特殊物品的，审核特殊物品出入境卫生检疫审批单中的储存条件及拆检注意事项。</w:t>
            </w:r>
          </w:p>
        </w:tc>
        <w:tc>
          <w:tcPr>
            <w:tcW w:w="3705" w:type="dxa"/>
            <w:vAlign w:val="center"/>
          </w:tcPr>
          <w:p>
            <w:pPr>
              <w:widowControl/>
              <w:jc w:val="left"/>
              <w:rPr>
                <w:color w:val="FF0000"/>
                <w:kern w:val="0"/>
                <w:szCs w:val="21"/>
              </w:rPr>
            </w:pPr>
          </w:p>
        </w:tc>
        <w:tc>
          <w:tcPr>
            <w:tcW w:w="3909" w:type="dxa"/>
            <w:vAlign w:val="center"/>
          </w:tcPr>
          <w:p>
            <w:pPr>
              <w:jc w:val="left"/>
              <w:rPr>
                <w:rFonts w:ascii="宋体" w:hAnsi="宋体"/>
                <w:color w:val="000000" w:themeColor="text1"/>
                <w:kern w:val="0"/>
                <w:szCs w:val="20"/>
                <w14:textFill>
                  <w14:solidFill>
                    <w14:schemeClr w14:val="tx1"/>
                  </w14:solidFill>
                </w14:textFill>
              </w:rPr>
            </w:pPr>
          </w:p>
        </w:tc>
        <w:tc>
          <w:tcPr>
            <w:tcW w:w="3320" w:type="dxa"/>
            <w:gridSpan w:val="2"/>
            <w:vAlign w:val="center"/>
          </w:tcPr>
          <w:p>
            <w:pPr>
              <w:widowControl/>
              <w:jc w:val="center"/>
              <w:rPr>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7" w:hRule="atLeast"/>
        </w:trPr>
        <w:tc>
          <w:tcPr>
            <w:tcW w:w="976" w:type="dxa"/>
            <w:vMerge w:val="continue"/>
            <w:vAlign w:val="center"/>
          </w:tcPr>
          <w:p>
            <w:pPr>
              <w:widowControl/>
              <w:jc w:val="center"/>
              <w:rPr>
                <w:color w:val="000000"/>
                <w:kern w:val="0"/>
                <w:sz w:val="24"/>
                <w:szCs w:val="24"/>
              </w:rPr>
            </w:pPr>
          </w:p>
        </w:tc>
        <w:tc>
          <w:tcPr>
            <w:tcW w:w="1096" w:type="dxa"/>
            <w:vMerge w:val="continue"/>
            <w:vAlign w:val="center"/>
          </w:tcPr>
          <w:p>
            <w:pPr>
              <w:rPr>
                <w:color w:val="000000"/>
                <w:kern w:val="0"/>
                <w:sz w:val="24"/>
                <w:szCs w:val="24"/>
              </w:rPr>
            </w:pPr>
          </w:p>
        </w:tc>
        <w:tc>
          <w:tcPr>
            <w:tcW w:w="2836" w:type="dxa"/>
            <w:vAlign w:val="center"/>
          </w:tcPr>
          <w:p>
            <w:pPr>
              <w:widowControl/>
              <w:jc w:val="left"/>
              <w:textAlignment w:val="top"/>
              <w:rPr>
                <w:color w:val="000000"/>
              </w:rPr>
            </w:pPr>
            <w:r>
              <w:rPr>
                <w:rStyle w:val="25"/>
                <w:rFonts w:hint="eastAsia"/>
                <w:lang w:bidi="ar"/>
              </w:rPr>
              <w:t>3.涉及出入境特殊物品的，建立特殊物品生产、使用、销售记录及符合海关要求的特殊物品安全管理制度。</w:t>
            </w:r>
          </w:p>
        </w:tc>
        <w:tc>
          <w:tcPr>
            <w:tcW w:w="3705" w:type="dxa"/>
            <w:vAlign w:val="center"/>
          </w:tcPr>
          <w:p>
            <w:pPr>
              <w:widowControl/>
              <w:jc w:val="left"/>
              <w:rPr>
                <w:color w:val="FF0000"/>
                <w:kern w:val="0"/>
                <w:szCs w:val="21"/>
              </w:rPr>
            </w:pPr>
            <w:r>
              <w:rPr>
                <w:color w:val="FF0000"/>
                <w:kern w:val="0"/>
                <w:szCs w:val="21"/>
              </w:rPr>
              <w:t xml:space="preserve"> </w:t>
            </w:r>
          </w:p>
          <w:p>
            <w:pPr>
              <w:widowControl/>
              <w:jc w:val="left"/>
              <w:rPr>
                <w:color w:val="FF0000"/>
                <w:kern w:val="0"/>
                <w:szCs w:val="21"/>
              </w:rPr>
            </w:pPr>
          </w:p>
        </w:tc>
        <w:tc>
          <w:tcPr>
            <w:tcW w:w="3909" w:type="dxa"/>
            <w:vAlign w:val="center"/>
          </w:tcPr>
          <w:p>
            <w:pPr>
              <w:jc w:val="left"/>
              <w:rPr>
                <w:rFonts w:ascii="宋体" w:hAnsi="宋体"/>
                <w:color w:val="000000" w:themeColor="text1"/>
                <w:kern w:val="0"/>
                <w:szCs w:val="20"/>
                <w14:textFill>
                  <w14:solidFill>
                    <w14:schemeClr w14:val="tx1"/>
                  </w14:solidFill>
                </w14:textFill>
              </w:rPr>
            </w:pPr>
            <w:r>
              <w:rPr>
                <w:rFonts w:ascii="宋体" w:hAnsi="宋体"/>
                <w:color w:val="000000" w:themeColor="text1"/>
                <w:kern w:val="0"/>
                <w:szCs w:val="20"/>
                <w14:textFill>
                  <w14:solidFill>
                    <w14:schemeClr w14:val="tx1"/>
                  </w14:solidFill>
                </w14:textFill>
              </w:rPr>
              <w:t xml:space="preserve"> </w:t>
            </w:r>
          </w:p>
        </w:tc>
        <w:tc>
          <w:tcPr>
            <w:tcW w:w="3320" w:type="dxa"/>
            <w:gridSpan w:val="2"/>
            <w:vAlign w:val="center"/>
          </w:tcPr>
          <w:p>
            <w:pPr>
              <w:widowControl/>
              <w:jc w:val="center"/>
              <w:rPr>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976" w:type="dxa"/>
            <w:vMerge w:val="continue"/>
            <w:vAlign w:val="center"/>
          </w:tcPr>
          <w:p>
            <w:pPr>
              <w:rPr>
                <w:color w:val="000000"/>
              </w:rPr>
            </w:pPr>
          </w:p>
        </w:tc>
        <w:tc>
          <w:tcPr>
            <w:tcW w:w="1096" w:type="dxa"/>
            <w:vAlign w:val="center"/>
          </w:tcPr>
          <w:p>
            <w:pPr>
              <w:widowControl/>
              <w:jc w:val="left"/>
              <w:textAlignment w:val="top"/>
              <w:rPr>
                <w:rFonts w:hint="eastAsia"/>
                <w:kern w:val="0"/>
                <w:szCs w:val="21"/>
              </w:rPr>
            </w:pPr>
            <w:r>
              <w:rPr>
                <w:rFonts w:hint="eastAsia" w:ascii="宋体" w:cs="宋体"/>
                <w:color w:val="000000"/>
                <w:kern w:val="0"/>
                <w:sz w:val="24"/>
                <w:lang w:bidi="ar"/>
              </w:rPr>
              <w:t>三、动植物检疫业务</w:t>
            </w:r>
          </w:p>
        </w:tc>
        <w:tc>
          <w:tcPr>
            <w:tcW w:w="2836" w:type="dxa"/>
            <w:vAlign w:val="center"/>
          </w:tcPr>
          <w:p>
            <w:pPr>
              <w:widowControl/>
              <w:jc w:val="left"/>
              <w:textAlignment w:val="top"/>
              <w:rPr>
                <w:rFonts w:hint="eastAsia"/>
                <w:color w:val="000000"/>
                <w:sz w:val="21"/>
                <w:szCs w:val="22"/>
              </w:rPr>
            </w:pPr>
            <w:r>
              <w:rPr>
                <w:rFonts w:hint="eastAsia" w:ascii="宋体" w:cs="宋体"/>
                <w:color w:val="000000"/>
                <w:kern w:val="0"/>
                <w:szCs w:val="21"/>
                <w:lang w:bidi="ar"/>
              </w:rPr>
              <w:t>4.企业进出境动植物及其产品需要检疫监管的，对口岸查验、装卸、调离、运输、隔离、生产、加工、存放、流向、检疫处理等环节建立台帐。</w:t>
            </w:r>
          </w:p>
        </w:tc>
        <w:tc>
          <w:tcPr>
            <w:tcW w:w="3705" w:type="dxa"/>
            <w:vAlign w:val="center"/>
          </w:tcPr>
          <w:p>
            <w:pPr>
              <w:rPr>
                <w:color w:val="FF0000"/>
                <w:kern w:val="0"/>
                <w:szCs w:val="21"/>
              </w:rPr>
            </w:pPr>
          </w:p>
        </w:tc>
        <w:tc>
          <w:tcPr>
            <w:tcW w:w="3909" w:type="dxa"/>
            <w:vAlign w:val="center"/>
          </w:tcPr>
          <w:p>
            <w:pPr>
              <w:jc w:val="left"/>
              <w:rPr>
                <w:color w:val="000000"/>
                <w:kern w:val="0"/>
                <w:szCs w:val="21"/>
              </w:rPr>
            </w:pPr>
          </w:p>
        </w:tc>
        <w:tc>
          <w:tcPr>
            <w:tcW w:w="3320" w:type="dxa"/>
            <w:gridSpan w:val="2"/>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976" w:type="dxa"/>
            <w:vMerge w:val="continue"/>
            <w:vAlign w:val="center"/>
          </w:tcPr>
          <w:p>
            <w:pPr>
              <w:rPr>
                <w:color w:val="000000"/>
              </w:rPr>
            </w:pPr>
          </w:p>
        </w:tc>
        <w:tc>
          <w:tcPr>
            <w:tcW w:w="1096" w:type="dxa"/>
            <w:vMerge w:val="restart"/>
            <w:vAlign w:val="center"/>
          </w:tcPr>
          <w:p>
            <w:pPr>
              <w:widowControl/>
              <w:jc w:val="left"/>
              <w:textAlignment w:val="top"/>
              <w:rPr>
                <w:color w:val="000000"/>
              </w:rPr>
            </w:pPr>
            <w:r>
              <w:rPr>
                <w:rFonts w:hint="eastAsia" w:ascii="宋体" w:cs="宋体"/>
                <w:color w:val="000000"/>
                <w:kern w:val="0"/>
                <w:sz w:val="24"/>
                <w:lang w:bidi="ar"/>
              </w:rPr>
              <w:t>四、进出口食品业务</w:t>
            </w:r>
          </w:p>
        </w:tc>
        <w:tc>
          <w:tcPr>
            <w:tcW w:w="2836" w:type="dxa"/>
            <w:vAlign w:val="center"/>
          </w:tcPr>
          <w:p>
            <w:pPr>
              <w:widowControl/>
              <w:jc w:val="left"/>
              <w:textAlignment w:val="top"/>
              <w:rPr>
                <w:color w:val="000000"/>
                <w:sz w:val="21"/>
                <w:szCs w:val="22"/>
              </w:rPr>
            </w:pPr>
            <w:r>
              <w:rPr>
                <w:rFonts w:hint="eastAsia" w:ascii="宋体" w:cs="宋体"/>
                <w:color w:val="000000"/>
                <w:kern w:val="0"/>
                <w:szCs w:val="21"/>
                <w:lang w:bidi="ar"/>
              </w:rPr>
              <w:t>5.企业进出口食品的，设有专门场所、特定部门和专人对进口、出口、销售记录和被境外通报的记录进行保管。</w:t>
            </w:r>
          </w:p>
        </w:tc>
        <w:tc>
          <w:tcPr>
            <w:tcW w:w="3705" w:type="dxa"/>
            <w:vAlign w:val="center"/>
          </w:tcPr>
          <w:p>
            <w:pPr>
              <w:rPr>
                <w:color w:val="FF0000"/>
                <w:kern w:val="0"/>
                <w:szCs w:val="21"/>
              </w:rPr>
            </w:pPr>
          </w:p>
          <w:p>
            <w:pPr>
              <w:rPr>
                <w:color w:val="FF0000"/>
                <w:kern w:val="0"/>
                <w:szCs w:val="21"/>
              </w:rPr>
            </w:pPr>
          </w:p>
        </w:tc>
        <w:tc>
          <w:tcPr>
            <w:tcW w:w="3909" w:type="dxa"/>
            <w:vAlign w:val="center"/>
          </w:tcPr>
          <w:p>
            <w:pPr>
              <w:jc w:val="left"/>
              <w:rPr>
                <w:color w:val="000000"/>
                <w:kern w:val="0"/>
                <w:szCs w:val="21"/>
              </w:rPr>
            </w:pPr>
          </w:p>
        </w:tc>
        <w:tc>
          <w:tcPr>
            <w:tcW w:w="3320" w:type="dxa"/>
            <w:gridSpan w:val="2"/>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976" w:type="dxa"/>
            <w:vMerge w:val="continue"/>
            <w:vAlign w:val="center"/>
          </w:tcPr>
          <w:p>
            <w:pPr>
              <w:rPr>
                <w:color w:val="000000"/>
              </w:rPr>
            </w:pPr>
          </w:p>
        </w:tc>
        <w:tc>
          <w:tcPr>
            <w:tcW w:w="1096" w:type="dxa"/>
            <w:vMerge w:val="continue"/>
            <w:vAlign w:val="center"/>
          </w:tcPr>
          <w:p>
            <w:pPr>
              <w:rPr>
                <w:kern w:val="0"/>
                <w:szCs w:val="21"/>
              </w:rPr>
            </w:pPr>
          </w:p>
        </w:tc>
        <w:tc>
          <w:tcPr>
            <w:tcW w:w="2836" w:type="dxa"/>
            <w:vAlign w:val="center"/>
          </w:tcPr>
          <w:p>
            <w:pPr>
              <w:widowControl/>
              <w:numPr>
                <w:ilvl w:val="0"/>
                <w:numId w:val="0"/>
              </w:numPr>
              <w:jc w:val="left"/>
              <w:textAlignment w:val="top"/>
              <w:rPr>
                <w:rFonts w:ascii="Times New Roman"/>
                <w:sz w:val="21"/>
                <w:szCs w:val="21"/>
              </w:rPr>
            </w:pPr>
            <w:r>
              <w:rPr>
                <w:rFonts w:hint="eastAsia" w:ascii="宋体" w:cs="宋体"/>
                <w:color w:val="000000"/>
                <w:kern w:val="0"/>
                <w:szCs w:val="21"/>
                <w:lang w:val="en-US" w:eastAsia="zh-CN" w:bidi="ar"/>
              </w:rPr>
              <w:t>6.</w:t>
            </w:r>
            <w:r>
              <w:rPr>
                <w:rFonts w:hint="eastAsia" w:ascii="宋体" w:cs="宋体"/>
                <w:color w:val="000000"/>
                <w:kern w:val="0"/>
                <w:szCs w:val="21"/>
                <w:lang w:bidi="ar"/>
              </w:rPr>
              <w:t>1年内出口产品被国外通报安全卫生问题，调查后确认为企业自身原因导致质量安全问题的批次不超过2批次。</w:t>
            </w:r>
          </w:p>
        </w:tc>
        <w:tc>
          <w:tcPr>
            <w:tcW w:w="3705" w:type="dxa"/>
            <w:vAlign w:val="center"/>
          </w:tcPr>
          <w:p>
            <w:pPr>
              <w:rPr>
                <w:color w:val="FF0000"/>
                <w:kern w:val="0"/>
                <w:szCs w:val="21"/>
              </w:rPr>
            </w:pPr>
          </w:p>
        </w:tc>
        <w:tc>
          <w:tcPr>
            <w:tcW w:w="3909" w:type="dxa"/>
            <w:vAlign w:val="center"/>
          </w:tcPr>
          <w:p>
            <w:pPr>
              <w:jc w:val="left"/>
              <w:rPr>
                <w:color w:val="000000"/>
                <w:kern w:val="0"/>
                <w:szCs w:val="21"/>
              </w:rPr>
            </w:pPr>
          </w:p>
        </w:tc>
        <w:tc>
          <w:tcPr>
            <w:tcW w:w="3320" w:type="dxa"/>
            <w:gridSpan w:val="2"/>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976" w:type="dxa"/>
            <w:vMerge w:val="continue"/>
            <w:tcBorders>
              <w:bottom w:val="single" w:color="auto" w:sz="4" w:space="0"/>
            </w:tcBorders>
            <w:vAlign w:val="center"/>
          </w:tcPr>
          <w:p>
            <w:pPr>
              <w:rPr>
                <w:color w:val="000000"/>
              </w:rPr>
            </w:pPr>
          </w:p>
        </w:tc>
        <w:tc>
          <w:tcPr>
            <w:tcW w:w="1096" w:type="dxa"/>
            <w:vMerge w:val="continue"/>
            <w:vAlign w:val="center"/>
          </w:tcPr>
          <w:p>
            <w:pPr>
              <w:rPr>
                <w:kern w:val="0"/>
                <w:szCs w:val="21"/>
              </w:rPr>
            </w:pPr>
          </w:p>
        </w:tc>
        <w:tc>
          <w:tcPr>
            <w:tcW w:w="2836" w:type="dxa"/>
            <w:vAlign w:val="center"/>
          </w:tcPr>
          <w:p>
            <w:pPr>
              <w:widowControl/>
              <w:jc w:val="left"/>
              <w:textAlignment w:val="top"/>
              <w:rPr>
                <w:rFonts w:hint="eastAsia"/>
                <w:color w:val="000000"/>
                <w:sz w:val="21"/>
                <w:szCs w:val="22"/>
              </w:rPr>
            </w:pPr>
            <w:r>
              <w:rPr>
                <w:rFonts w:hint="eastAsia" w:ascii="宋体" w:cs="宋体"/>
                <w:color w:val="000000"/>
                <w:kern w:val="0"/>
                <w:szCs w:val="21"/>
                <w:lang w:bidi="ar"/>
              </w:rPr>
              <w:t>7.1年内未出现因质量管理不到位，被国外通报使用我国或进口国禁用农药或禁用物质等严重安全卫生问题。</w:t>
            </w:r>
          </w:p>
        </w:tc>
        <w:tc>
          <w:tcPr>
            <w:tcW w:w="3705" w:type="dxa"/>
            <w:vAlign w:val="center"/>
          </w:tcPr>
          <w:p>
            <w:pPr>
              <w:rPr>
                <w:color w:val="FF0000"/>
                <w:kern w:val="0"/>
                <w:szCs w:val="21"/>
              </w:rPr>
            </w:pPr>
          </w:p>
        </w:tc>
        <w:tc>
          <w:tcPr>
            <w:tcW w:w="3909" w:type="dxa"/>
            <w:vAlign w:val="center"/>
          </w:tcPr>
          <w:p>
            <w:pPr>
              <w:jc w:val="left"/>
              <w:rPr>
                <w:color w:val="000000"/>
                <w:kern w:val="0"/>
                <w:szCs w:val="21"/>
              </w:rPr>
            </w:pPr>
          </w:p>
        </w:tc>
        <w:tc>
          <w:tcPr>
            <w:tcW w:w="3320" w:type="dxa"/>
            <w:gridSpan w:val="2"/>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976" w:type="dxa"/>
            <w:vMerge w:val="continue"/>
            <w:tcBorders>
              <w:bottom w:val="single" w:color="auto" w:sz="4" w:space="0"/>
            </w:tcBorders>
            <w:vAlign w:val="center"/>
          </w:tcPr>
          <w:p>
            <w:pPr>
              <w:rPr>
                <w:color w:val="000000"/>
              </w:rPr>
            </w:pPr>
          </w:p>
        </w:tc>
        <w:tc>
          <w:tcPr>
            <w:tcW w:w="1096" w:type="dxa"/>
            <w:vMerge w:val="continue"/>
            <w:vAlign w:val="center"/>
          </w:tcPr>
          <w:p>
            <w:pPr>
              <w:rPr>
                <w:kern w:val="0"/>
                <w:szCs w:val="21"/>
              </w:rPr>
            </w:pPr>
          </w:p>
        </w:tc>
        <w:tc>
          <w:tcPr>
            <w:tcW w:w="2836" w:type="dxa"/>
            <w:vAlign w:val="center"/>
          </w:tcPr>
          <w:p>
            <w:pPr>
              <w:widowControl/>
              <w:jc w:val="left"/>
              <w:textAlignment w:val="top"/>
              <w:rPr>
                <w:rFonts w:ascii="Times New Roman"/>
                <w:sz w:val="21"/>
                <w:szCs w:val="21"/>
              </w:rPr>
            </w:pPr>
            <w:r>
              <w:rPr>
                <w:rFonts w:hint="eastAsia" w:ascii="宋体" w:cs="宋体"/>
                <w:color w:val="000000"/>
                <w:kern w:val="0"/>
                <w:szCs w:val="21"/>
                <w:lang w:val="en" w:eastAsia="en"/>
              </w:rPr>
              <w:t>8.</w:t>
            </w:r>
            <w:r>
              <w:rPr>
                <w:rFonts w:hint="eastAsia" w:ascii="宋体" w:cs="宋体"/>
                <w:color w:val="000000"/>
                <w:kern w:val="0"/>
                <w:szCs w:val="21"/>
              </w:rPr>
              <w:t>1年内进口商未被列入海关总署进口食品不良记录名单。</w:t>
            </w:r>
          </w:p>
        </w:tc>
        <w:tc>
          <w:tcPr>
            <w:tcW w:w="3705" w:type="dxa"/>
            <w:vAlign w:val="center"/>
          </w:tcPr>
          <w:p>
            <w:pPr>
              <w:rPr>
                <w:color w:val="FF0000"/>
                <w:kern w:val="0"/>
                <w:szCs w:val="21"/>
              </w:rPr>
            </w:pPr>
          </w:p>
        </w:tc>
        <w:tc>
          <w:tcPr>
            <w:tcW w:w="3909" w:type="dxa"/>
            <w:vAlign w:val="center"/>
          </w:tcPr>
          <w:p>
            <w:pPr>
              <w:jc w:val="left"/>
              <w:rPr>
                <w:color w:val="000000"/>
                <w:kern w:val="0"/>
                <w:szCs w:val="21"/>
              </w:rPr>
            </w:pPr>
          </w:p>
        </w:tc>
        <w:tc>
          <w:tcPr>
            <w:tcW w:w="3320" w:type="dxa"/>
            <w:gridSpan w:val="2"/>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976" w:type="dxa"/>
            <w:tcBorders>
              <w:top w:val="single" w:color="auto" w:sz="4" w:space="0"/>
            </w:tcBorders>
            <w:vAlign w:val="center"/>
          </w:tcPr>
          <w:p>
            <w:pPr>
              <w:rPr>
                <w:rFonts w:hint="eastAsia"/>
                <w:kern w:val="0"/>
                <w:sz w:val="24"/>
                <w:szCs w:val="24"/>
              </w:rPr>
            </w:pPr>
          </w:p>
        </w:tc>
        <w:tc>
          <w:tcPr>
            <w:tcW w:w="1096" w:type="dxa"/>
            <w:vAlign w:val="center"/>
          </w:tcPr>
          <w:p>
            <w:pPr>
              <w:widowControl/>
              <w:jc w:val="left"/>
              <w:textAlignment w:val="top"/>
              <w:rPr>
                <w:rFonts w:hint="eastAsia"/>
                <w:kern w:val="0"/>
                <w:sz w:val="24"/>
                <w:szCs w:val="24"/>
              </w:rPr>
            </w:pPr>
            <w:r>
              <w:rPr>
                <w:rFonts w:hint="eastAsia" w:ascii="宋体" w:cs="宋体"/>
                <w:color w:val="000000"/>
                <w:kern w:val="0"/>
                <w:sz w:val="24"/>
                <w:lang w:bidi="ar"/>
              </w:rPr>
              <w:t>五、进出口商品检验业务</w:t>
            </w:r>
          </w:p>
        </w:tc>
        <w:tc>
          <w:tcPr>
            <w:tcW w:w="2836" w:type="dxa"/>
            <w:vAlign w:val="center"/>
          </w:tcPr>
          <w:p>
            <w:pPr>
              <w:widowControl/>
              <w:jc w:val="left"/>
              <w:textAlignment w:val="top"/>
              <w:rPr>
                <w:rFonts w:hint="eastAsia"/>
                <w:color w:val="000000"/>
                <w:sz w:val="21"/>
                <w:szCs w:val="22"/>
              </w:rPr>
            </w:pPr>
            <w:r>
              <w:rPr>
                <w:rFonts w:hint="eastAsia" w:ascii="宋体" w:cs="宋体"/>
                <w:color w:val="000000"/>
                <w:kern w:val="0"/>
                <w:szCs w:val="21"/>
                <w:lang w:bidi="ar"/>
              </w:rPr>
              <w:t>9.企业进出口商品需要检验监管的，对日常检验监管情况、生产经营情况、不合格货物的处置、销毁、退运、召回等情况建立台账。</w:t>
            </w:r>
          </w:p>
        </w:tc>
        <w:tc>
          <w:tcPr>
            <w:tcW w:w="3705" w:type="dxa"/>
            <w:vAlign w:val="center"/>
          </w:tcPr>
          <w:p>
            <w:pPr>
              <w:rPr>
                <w:color w:val="FF0000"/>
                <w:kern w:val="0"/>
                <w:szCs w:val="21"/>
              </w:rPr>
            </w:pPr>
          </w:p>
        </w:tc>
        <w:tc>
          <w:tcPr>
            <w:tcW w:w="3909" w:type="dxa"/>
            <w:vAlign w:val="center"/>
          </w:tcPr>
          <w:p>
            <w:pPr>
              <w:jc w:val="left"/>
              <w:rPr>
                <w:color w:val="000000"/>
                <w:kern w:val="0"/>
                <w:szCs w:val="21"/>
              </w:rPr>
            </w:pPr>
          </w:p>
        </w:tc>
        <w:tc>
          <w:tcPr>
            <w:tcW w:w="3320" w:type="dxa"/>
            <w:gridSpan w:val="2"/>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976" w:type="dxa"/>
            <w:tcBorders>
              <w:top w:val="single" w:color="auto" w:sz="4" w:space="0"/>
            </w:tcBorders>
            <w:vAlign w:val="center"/>
          </w:tcPr>
          <w:p>
            <w:pPr>
              <w:rPr>
                <w:rFonts w:hint="eastAsia"/>
                <w:kern w:val="0"/>
                <w:sz w:val="24"/>
                <w:szCs w:val="24"/>
              </w:rPr>
            </w:pPr>
          </w:p>
        </w:tc>
        <w:tc>
          <w:tcPr>
            <w:tcW w:w="1096" w:type="dxa"/>
            <w:vMerge w:val="restart"/>
            <w:vAlign w:val="center"/>
          </w:tcPr>
          <w:p>
            <w:pPr>
              <w:widowControl/>
              <w:jc w:val="left"/>
              <w:textAlignment w:val="top"/>
              <w:rPr>
                <w:rFonts w:hint="eastAsia"/>
                <w:kern w:val="0"/>
                <w:sz w:val="24"/>
                <w:szCs w:val="24"/>
              </w:rPr>
            </w:pPr>
            <w:r>
              <w:rPr>
                <w:rFonts w:hint="eastAsia" w:ascii="宋体" w:cs="宋体"/>
                <w:color w:val="000000"/>
                <w:kern w:val="0"/>
                <w:sz w:val="24"/>
                <w:lang w:bidi="ar"/>
              </w:rPr>
              <w:t>六、代理报关业务</w:t>
            </w:r>
          </w:p>
        </w:tc>
        <w:tc>
          <w:tcPr>
            <w:tcW w:w="2836" w:type="dxa"/>
            <w:vAlign w:val="center"/>
          </w:tcPr>
          <w:p>
            <w:pPr>
              <w:widowControl/>
              <w:jc w:val="left"/>
              <w:textAlignment w:val="top"/>
              <w:rPr>
                <w:rFonts w:hint="eastAsia" w:ascii="宋体" w:cs="宋体"/>
                <w:color w:val="000000"/>
                <w:kern w:val="0"/>
                <w:szCs w:val="21"/>
                <w:lang w:bidi="ar"/>
              </w:rPr>
            </w:pPr>
            <w:r>
              <w:rPr>
                <w:rFonts w:hint="eastAsia" w:ascii="宋体" w:cs="宋体"/>
                <w:color w:val="000000"/>
                <w:kern w:val="0"/>
                <w:szCs w:val="21"/>
                <w:lang w:bidi="ar"/>
              </w:rPr>
              <w:t>10.遵守法律法规</w:t>
            </w:r>
          </w:p>
          <w:p>
            <w:pPr>
              <w:widowControl/>
              <w:jc w:val="left"/>
              <w:textAlignment w:val="top"/>
              <w:rPr>
                <w:rFonts w:hint="eastAsia" w:ascii="宋体" w:cs="宋体"/>
                <w:color w:val="000000"/>
                <w:szCs w:val="21"/>
              </w:rPr>
            </w:pPr>
            <w:r>
              <w:rPr>
                <w:rFonts w:hint="eastAsia" w:ascii="宋体" w:cs="宋体"/>
                <w:color w:val="000000"/>
                <w:kern w:val="0"/>
                <w:szCs w:val="21"/>
                <w:lang w:bidi="ar"/>
              </w:rPr>
              <w:t>（1）1年内无因违反海关的监管规定被海关行政处罚金额超过1万元的行为。</w:t>
            </w:r>
          </w:p>
          <w:p>
            <w:pPr>
              <w:widowControl/>
              <w:jc w:val="left"/>
              <w:textAlignment w:val="top"/>
              <w:rPr>
                <w:rFonts w:hint="eastAsia" w:ascii="宋体" w:cs="宋体"/>
                <w:color w:val="000000"/>
                <w:kern w:val="0"/>
                <w:szCs w:val="21"/>
                <w:lang w:bidi="ar"/>
              </w:rPr>
            </w:pPr>
            <w:r>
              <w:rPr>
                <w:rFonts w:hint="eastAsia" w:ascii="宋体" w:cs="宋体"/>
                <w:color w:val="000000"/>
                <w:kern w:val="0"/>
                <w:szCs w:val="21"/>
                <w:lang w:bidi="ar"/>
              </w:rPr>
              <w:t>（2）1年内因违反海关的监管规定被海关行政处罚的次数不超过上年度报关单、进出境备案清单、进出境运输工具舱单等单证（以下简称“相关单证”）总票数万分之一，且被海关行政处罚金额累计不超过3万元。</w:t>
            </w:r>
          </w:p>
          <w:p>
            <w:pPr>
              <w:widowControl/>
              <w:jc w:val="left"/>
              <w:textAlignment w:val="top"/>
              <w:rPr>
                <w:rFonts w:hint="eastAsia" w:ascii="宋体" w:cs="宋体"/>
                <w:color w:val="000000"/>
                <w:kern w:val="0"/>
                <w:szCs w:val="21"/>
                <w:lang w:bidi="ar"/>
              </w:rPr>
            </w:pPr>
            <w:r>
              <w:rPr>
                <w:rFonts w:hint="eastAsia" w:ascii="宋体" w:cs="宋体"/>
                <w:color w:val="000000"/>
                <w:kern w:val="0"/>
                <w:szCs w:val="21"/>
                <w:lang w:bidi="ar"/>
              </w:rPr>
              <w:t>（3）上年度相关单证票数无法计算的，1年内无因违反海关的监管规定被海关行政处罚的行为。</w:t>
            </w:r>
          </w:p>
          <w:p>
            <w:pPr>
              <w:widowControl/>
              <w:jc w:val="left"/>
              <w:textAlignment w:val="top"/>
              <w:rPr>
                <w:rFonts w:hint="eastAsia"/>
                <w:color w:val="000000"/>
                <w:sz w:val="21"/>
                <w:szCs w:val="22"/>
              </w:rPr>
            </w:pPr>
            <w:r>
              <w:rPr>
                <w:rFonts w:hint="eastAsia" w:ascii="宋体" w:cs="宋体"/>
                <w:color w:val="000000"/>
                <w:szCs w:val="21"/>
              </w:rPr>
              <w:t>上述（1）（2）（3）所列</w:t>
            </w:r>
            <w:r>
              <w:rPr>
                <w:rFonts w:hint="eastAsia" w:ascii="宋体"/>
                <w:color w:val="000000"/>
                <w:szCs w:val="21"/>
              </w:rPr>
              <w:t>行为经海关认定系企业自查发现并主动向海关报明的，比照《中华人民共和国海关注册登记和备案企业信用管理办法》第三十七条第四款执行。</w:t>
            </w:r>
          </w:p>
        </w:tc>
        <w:tc>
          <w:tcPr>
            <w:tcW w:w="3705" w:type="dxa"/>
            <w:vAlign w:val="center"/>
          </w:tcPr>
          <w:p>
            <w:pPr>
              <w:rPr>
                <w:color w:val="FF0000"/>
                <w:kern w:val="0"/>
                <w:szCs w:val="21"/>
              </w:rPr>
            </w:pPr>
          </w:p>
        </w:tc>
        <w:tc>
          <w:tcPr>
            <w:tcW w:w="3909" w:type="dxa"/>
            <w:vAlign w:val="center"/>
          </w:tcPr>
          <w:p>
            <w:pPr>
              <w:jc w:val="left"/>
              <w:rPr>
                <w:color w:val="000000"/>
                <w:kern w:val="0"/>
                <w:szCs w:val="21"/>
              </w:rPr>
            </w:pPr>
          </w:p>
        </w:tc>
        <w:tc>
          <w:tcPr>
            <w:tcW w:w="3320" w:type="dxa"/>
            <w:gridSpan w:val="2"/>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976" w:type="dxa"/>
            <w:vMerge w:val="restart"/>
            <w:tcBorders>
              <w:top w:val="single" w:color="auto" w:sz="4" w:space="0"/>
            </w:tcBorders>
            <w:vAlign w:val="center"/>
          </w:tcPr>
          <w:p>
            <w:pPr>
              <w:rPr>
                <w:rFonts w:hint="eastAsia"/>
                <w:kern w:val="0"/>
                <w:sz w:val="24"/>
                <w:szCs w:val="24"/>
              </w:rPr>
            </w:pPr>
          </w:p>
        </w:tc>
        <w:tc>
          <w:tcPr>
            <w:tcW w:w="1096" w:type="dxa"/>
            <w:vMerge w:val="continue"/>
            <w:vAlign w:val="center"/>
          </w:tcPr>
          <w:p>
            <w:pPr>
              <w:rPr>
                <w:rFonts w:hint="eastAsia"/>
                <w:kern w:val="0"/>
                <w:sz w:val="24"/>
                <w:szCs w:val="24"/>
              </w:rPr>
            </w:pPr>
          </w:p>
        </w:tc>
        <w:tc>
          <w:tcPr>
            <w:tcW w:w="2836" w:type="dxa"/>
            <w:vAlign w:val="center"/>
          </w:tcPr>
          <w:p>
            <w:pPr>
              <w:widowControl/>
              <w:jc w:val="left"/>
              <w:textAlignment w:val="top"/>
              <w:rPr>
                <w:rFonts w:hint="eastAsia"/>
                <w:color w:val="000000"/>
                <w:sz w:val="21"/>
                <w:szCs w:val="22"/>
              </w:rPr>
            </w:pPr>
            <w:r>
              <w:rPr>
                <w:rStyle w:val="25"/>
                <w:rFonts w:hint="eastAsia"/>
                <w:lang w:bidi="ar"/>
              </w:rPr>
              <w:t>11.建立并执行代理申报前对进出口单证及相关信息、监管证件、商业单据等资料的真实性、完整性和有效性进行合理审查并复核纠错的制度。通过信息系统对进出口单证等信息进行申报要素的逻辑检验。</w:t>
            </w:r>
          </w:p>
        </w:tc>
        <w:tc>
          <w:tcPr>
            <w:tcW w:w="3705" w:type="dxa"/>
            <w:vAlign w:val="center"/>
          </w:tcPr>
          <w:p>
            <w:pPr>
              <w:rPr>
                <w:color w:val="FF0000"/>
                <w:kern w:val="0"/>
                <w:szCs w:val="21"/>
              </w:rPr>
            </w:pPr>
          </w:p>
        </w:tc>
        <w:tc>
          <w:tcPr>
            <w:tcW w:w="3909" w:type="dxa"/>
            <w:vAlign w:val="center"/>
          </w:tcPr>
          <w:p>
            <w:pPr>
              <w:jc w:val="left"/>
              <w:rPr>
                <w:color w:val="000000"/>
                <w:kern w:val="0"/>
                <w:szCs w:val="21"/>
              </w:rPr>
            </w:pPr>
          </w:p>
        </w:tc>
        <w:tc>
          <w:tcPr>
            <w:tcW w:w="3320" w:type="dxa"/>
            <w:gridSpan w:val="2"/>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976" w:type="dxa"/>
            <w:vMerge w:val="continue"/>
            <w:vAlign w:val="center"/>
          </w:tcPr>
          <w:p>
            <w:pPr>
              <w:rPr>
                <w:rFonts w:hint="eastAsia"/>
                <w:kern w:val="0"/>
                <w:sz w:val="24"/>
                <w:szCs w:val="24"/>
              </w:rPr>
            </w:pPr>
          </w:p>
        </w:tc>
        <w:tc>
          <w:tcPr>
            <w:tcW w:w="1096" w:type="dxa"/>
            <w:vMerge w:val="continue"/>
            <w:vAlign w:val="center"/>
          </w:tcPr>
          <w:p>
            <w:pPr>
              <w:rPr>
                <w:rFonts w:hint="eastAsia"/>
                <w:kern w:val="0"/>
                <w:sz w:val="24"/>
                <w:szCs w:val="24"/>
              </w:rPr>
            </w:pPr>
          </w:p>
        </w:tc>
        <w:tc>
          <w:tcPr>
            <w:tcW w:w="2836" w:type="dxa"/>
            <w:vAlign w:val="center"/>
          </w:tcPr>
          <w:p>
            <w:pPr>
              <w:widowControl/>
              <w:jc w:val="left"/>
              <w:textAlignment w:val="top"/>
              <w:rPr>
                <w:rFonts w:hint="eastAsia"/>
                <w:color w:val="000000"/>
                <w:sz w:val="21"/>
                <w:szCs w:val="22"/>
              </w:rPr>
            </w:pPr>
            <w:r>
              <w:rPr>
                <w:rFonts w:hint="eastAsia" w:ascii="宋体" w:cs="宋体"/>
                <w:color w:val="000000"/>
                <w:kern w:val="0"/>
                <w:szCs w:val="21"/>
                <w:lang w:bidi="ar"/>
              </w:rPr>
              <w:t>12.建立并执行对代理报关的进出口货物收发货人进行海关法律法规等相关规定的培训制度。</w:t>
            </w:r>
          </w:p>
        </w:tc>
        <w:tc>
          <w:tcPr>
            <w:tcW w:w="3705" w:type="dxa"/>
            <w:vAlign w:val="center"/>
          </w:tcPr>
          <w:p>
            <w:pPr>
              <w:rPr>
                <w:color w:val="FF0000"/>
                <w:kern w:val="0"/>
                <w:szCs w:val="21"/>
              </w:rPr>
            </w:pPr>
          </w:p>
        </w:tc>
        <w:tc>
          <w:tcPr>
            <w:tcW w:w="3909" w:type="dxa"/>
            <w:vAlign w:val="center"/>
          </w:tcPr>
          <w:p>
            <w:pPr>
              <w:jc w:val="left"/>
              <w:rPr>
                <w:color w:val="000000"/>
                <w:kern w:val="0"/>
                <w:szCs w:val="21"/>
              </w:rPr>
            </w:pPr>
          </w:p>
        </w:tc>
        <w:tc>
          <w:tcPr>
            <w:tcW w:w="3320" w:type="dxa"/>
            <w:gridSpan w:val="2"/>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976" w:type="dxa"/>
            <w:vMerge w:val="continue"/>
            <w:vAlign w:val="center"/>
          </w:tcPr>
          <w:p>
            <w:pPr>
              <w:rPr>
                <w:rFonts w:hint="eastAsia"/>
                <w:kern w:val="0"/>
                <w:sz w:val="24"/>
                <w:szCs w:val="24"/>
              </w:rPr>
            </w:pPr>
          </w:p>
        </w:tc>
        <w:tc>
          <w:tcPr>
            <w:tcW w:w="1096" w:type="dxa"/>
            <w:vMerge w:val="continue"/>
            <w:vAlign w:val="center"/>
          </w:tcPr>
          <w:p>
            <w:pPr>
              <w:rPr>
                <w:rFonts w:hint="eastAsia"/>
                <w:kern w:val="0"/>
                <w:sz w:val="24"/>
                <w:szCs w:val="24"/>
              </w:rPr>
            </w:pPr>
          </w:p>
        </w:tc>
        <w:tc>
          <w:tcPr>
            <w:tcW w:w="2836" w:type="dxa"/>
            <w:vAlign w:val="center"/>
          </w:tcPr>
          <w:p>
            <w:pPr>
              <w:widowControl/>
              <w:jc w:val="left"/>
              <w:textAlignment w:val="top"/>
              <w:rPr>
                <w:rFonts w:hint="eastAsia"/>
                <w:color w:val="000000"/>
                <w:sz w:val="21"/>
                <w:szCs w:val="22"/>
              </w:rPr>
            </w:pPr>
            <w:r>
              <w:rPr>
                <w:rStyle w:val="26"/>
                <w:rFonts w:hint="eastAsia" w:ascii="宋体" w:cs="宋体"/>
                <w:lang w:bidi="ar"/>
              </w:rPr>
              <w:t>13.</w:t>
            </w:r>
            <w:r>
              <w:rPr>
                <w:rStyle w:val="25"/>
                <w:rFonts w:hint="eastAsia"/>
                <w:lang w:bidi="ar"/>
              </w:rPr>
              <w:t>企业应当协助海关对其被代理企业或者主要物流运输企业按照通用标准的货物、物品安全和运输工具安全要求实施延伸认证。</w:t>
            </w:r>
          </w:p>
        </w:tc>
        <w:tc>
          <w:tcPr>
            <w:tcW w:w="3705" w:type="dxa"/>
            <w:vAlign w:val="center"/>
          </w:tcPr>
          <w:p>
            <w:pPr>
              <w:rPr>
                <w:color w:val="FF0000"/>
                <w:kern w:val="0"/>
                <w:szCs w:val="21"/>
              </w:rPr>
            </w:pPr>
          </w:p>
        </w:tc>
        <w:tc>
          <w:tcPr>
            <w:tcW w:w="3909" w:type="dxa"/>
            <w:vAlign w:val="center"/>
          </w:tcPr>
          <w:p>
            <w:pPr>
              <w:jc w:val="left"/>
              <w:rPr>
                <w:color w:val="000000"/>
                <w:kern w:val="0"/>
                <w:szCs w:val="21"/>
              </w:rPr>
            </w:pPr>
          </w:p>
        </w:tc>
        <w:tc>
          <w:tcPr>
            <w:tcW w:w="3320" w:type="dxa"/>
            <w:gridSpan w:val="2"/>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976" w:type="dxa"/>
            <w:tcBorders>
              <w:top w:val="single" w:color="auto" w:sz="4" w:space="0"/>
            </w:tcBorders>
            <w:vAlign w:val="center"/>
          </w:tcPr>
          <w:p>
            <w:pPr>
              <w:rPr>
                <w:rFonts w:hint="eastAsia"/>
                <w:kern w:val="0"/>
                <w:sz w:val="24"/>
                <w:szCs w:val="24"/>
              </w:rPr>
            </w:pPr>
          </w:p>
        </w:tc>
        <w:tc>
          <w:tcPr>
            <w:tcW w:w="1096" w:type="dxa"/>
            <w:vMerge w:val="restart"/>
            <w:vAlign w:val="center"/>
          </w:tcPr>
          <w:p>
            <w:pPr>
              <w:widowControl/>
              <w:jc w:val="left"/>
              <w:textAlignment w:val="top"/>
              <w:rPr>
                <w:rFonts w:hint="eastAsia"/>
                <w:kern w:val="0"/>
                <w:sz w:val="24"/>
                <w:szCs w:val="24"/>
              </w:rPr>
            </w:pPr>
            <w:r>
              <w:rPr>
                <w:rFonts w:hint="eastAsia" w:ascii="宋体" w:cs="宋体"/>
                <w:color w:val="000000"/>
                <w:kern w:val="0"/>
                <w:sz w:val="24"/>
                <w:lang w:bidi="ar"/>
              </w:rPr>
              <w:t>七、快件运营业务</w:t>
            </w:r>
          </w:p>
        </w:tc>
        <w:tc>
          <w:tcPr>
            <w:tcW w:w="2836" w:type="dxa"/>
            <w:vAlign w:val="center"/>
          </w:tcPr>
          <w:p>
            <w:pPr>
              <w:widowControl/>
              <w:jc w:val="left"/>
              <w:textAlignment w:val="top"/>
              <w:rPr>
                <w:rFonts w:hint="eastAsia"/>
                <w:color w:val="000000"/>
                <w:sz w:val="21"/>
                <w:szCs w:val="22"/>
              </w:rPr>
            </w:pPr>
            <w:r>
              <w:rPr>
                <w:rFonts w:hint="eastAsia" w:ascii="宋体" w:cs="宋体"/>
                <w:color w:val="000000"/>
                <w:kern w:val="0"/>
                <w:szCs w:val="21"/>
                <w:lang w:bidi="ar"/>
              </w:rPr>
              <w:t>14.建立并执行对收发件人的提醒制度，主动告知禁止、限制进出境物品的相关规定，并作出如实申报提示。</w:t>
            </w:r>
          </w:p>
        </w:tc>
        <w:tc>
          <w:tcPr>
            <w:tcW w:w="3705" w:type="dxa"/>
            <w:vAlign w:val="center"/>
          </w:tcPr>
          <w:p>
            <w:pPr>
              <w:rPr>
                <w:color w:val="FF0000"/>
                <w:kern w:val="0"/>
                <w:szCs w:val="21"/>
              </w:rPr>
            </w:pPr>
          </w:p>
        </w:tc>
        <w:tc>
          <w:tcPr>
            <w:tcW w:w="3909" w:type="dxa"/>
            <w:vAlign w:val="center"/>
          </w:tcPr>
          <w:p>
            <w:pPr>
              <w:jc w:val="left"/>
              <w:rPr>
                <w:color w:val="000000"/>
                <w:kern w:val="0"/>
                <w:szCs w:val="21"/>
              </w:rPr>
            </w:pPr>
          </w:p>
        </w:tc>
        <w:tc>
          <w:tcPr>
            <w:tcW w:w="3320" w:type="dxa"/>
            <w:gridSpan w:val="2"/>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976" w:type="dxa"/>
            <w:vMerge w:val="restart"/>
            <w:tcBorders>
              <w:top w:val="single" w:color="auto" w:sz="4" w:space="0"/>
            </w:tcBorders>
            <w:vAlign w:val="center"/>
          </w:tcPr>
          <w:p>
            <w:pPr>
              <w:rPr>
                <w:rFonts w:hint="eastAsia"/>
                <w:kern w:val="0"/>
                <w:sz w:val="24"/>
                <w:szCs w:val="24"/>
              </w:rPr>
            </w:pPr>
          </w:p>
        </w:tc>
        <w:tc>
          <w:tcPr>
            <w:tcW w:w="1096" w:type="dxa"/>
            <w:vMerge w:val="continue"/>
            <w:vAlign w:val="center"/>
          </w:tcPr>
          <w:p>
            <w:pPr>
              <w:rPr>
                <w:rFonts w:hint="eastAsia"/>
                <w:kern w:val="0"/>
                <w:sz w:val="24"/>
                <w:szCs w:val="24"/>
              </w:rPr>
            </w:pPr>
          </w:p>
        </w:tc>
        <w:tc>
          <w:tcPr>
            <w:tcW w:w="2836" w:type="dxa"/>
            <w:vAlign w:val="center"/>
          </w:tcPr>
          <w:p>
            <w:pPr>
              <w:widowControl/>
              <w:jc w:val="left"/>
              <w:textAlignment w:val="top"/>
              <w:rPr>
                <w:rFonts w:hint="eastAsia"/>
                <w:color w:val="000000"/>
                <w:sz w:val="21"/>
                <w:szCs w:val="22"/>
              </w:rPr>
            </w:pPr>
            <w:r>
              <w:rPr>
                <w:rStyle w:val="26"/>
                <w:rFonts w:hint="eastAsia" w:ascii="宋体" w:cs="宋体"/>
                <w:lang w:bidi="ar"/>
              </w:rPr>
              <w:t>15.</w:t>
            </w:r>
            <w:r>
              <w:rPr>
                <w:rStyle w:val="25"/>
                <w:rFonts w:hint="eastAsia"/>
                <w:lang w:bidi="ar"/>
              </w:rPr>
              <w:t>建立并执行收发件人信息核实的管理制度。</w:t>
            </w:r>
          </w:p>
        </w:tc>
        <w:tc>
          <w:tcPr>
            <w:tcW w:w="3705" w:type="dxa"/>
            <w:vAlign w:val="center"/>
          </w:tcPr>
          <w:p>
            <w:pPr>
              <w:rPr>
                <w:color w:val="FF0000"/>
                <w:kern w:val="0"/>
                <w:szCs w:val="21"/>
              </w:rPr>
            </w:pPr>
          </w:p>
        </w:tc>
        <w:tc>
          <w:tcPr>
            <w:tcW w:w="3909" w:type="dxa"/>
            <w:vAlign w:val="center"/>
          </w:tcPr>
          <w:p>
            <w:pPr>
              <w:jc w:val="left"/>
              <w:rPr>
                <w:color w:val="000000"/>
                <w:kern w:val="0"/>
                <w:szCs w:val="21"/>
              </w:rPr>
            </w:pPr>
          </w:p>
        </w:tc>
        <w:tc>
          <w:tcPr>
            <w:tcW w:w="3320" w:type="dxa"/>
            <w:gridSpan w:val="2"/>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976" w:type="dxa"/>
            <w:vMerge w:val="continue"/>
            <w:vAlign w:val="center"/>
          </w:tcPr>
          <w:p>
            <w:pPr>
              <w:rPr>
                <w:rFonts w:hint="eastAsia"/>
                <w:kern w:val="0"/>
                <w:sz w:val="24"/>
                <w:szCs w:val="24"/>
              </w:rPr>
            </w:pPr>
          </w:p>
        </w:tc>
        <w:tc>
          <w:tcPr>
            <w:tcW w:w="1096" w:type="dxa"/>
            <w:vMerge w:val="continue"/>
            <w:vAlign w:val="center"/>
          </w:tcPr>
          <w:p>
            <w:pPr>
              <w:rPr>
                <w:rFonts w:hint="eastAsia"/>
                <w:kern w:val="0"/>
                <w:sz w:val="24"/>
                <w:szCs w:val="24"/>
              </w:rPr>
            </w:pPr>
          </w:p>
        </w:tc>
        <w:tc>
          <w:tcPr>
            <w:tcW w:w="2836" w:type="dxa"/>
            <w:vAlign w:val="center"/>
          </w:tcPr>
          <w:p>
            <w:pPr>
              <w:widowControl/>
              <w:jc w:val="left"/>
              <w:textAlignment w:val="top"/>
              <w:rPr>
                <w:rFonts w:hint="eastAsia"/>
                <w:color w:val="000000"/>
                <w:sz w:val="21"/>
                <w:szCs w:val="22"/>
              </w:rPr>
            </w:pPr>
            <w:r>
              <w:rPr>
                <w:rStyle w:val="26"/>
                <w:rFonts w:hint="eastAsia" w:ascii="宋体" w:cs="宋体"/>
                <w:lang w:bidi="ar"/>
              </w:rPr>
              <w:t>16.</w:t>
            </w:r>
            <w:r>
              <w:rPr>
                <w:rStyle w:val="25"/>
                <w:rFonts w:hint="eastAsia"/>
                <w:lang w:bidi="ar"/>
              </w:rPr>
              <w:t>建立并执行对代理申报的快件是否符合海关有关监管要求的审核制度，</w:t>
            </w:r>
            <w:r>
              <w:rPr>
                <w:rStyle w:val="27"/>
                <w:rFonts w:hint="eastAsia"/>
                <w:lang w:bidi="ar"/>
              </w:rPr>
              <w:t>与</w:t>
            </w:r>
            <w:r>
              <w:rPr>
                <w:rStyle w:val="25"/>
                <w:rFonts w:hint="eastAsia"/>
                <w:lang w:bidi="ar"/>
              </w:rPr>
              <w:t>委托人核实、确认快件申报信息。</w:t>
            </w:r>
          </w:p>
        </w:tc>
        <w:tc>
          <w:tcPr>
            <w:tcW w:w="3705" w:type="dxa"/>
            <w:vAlign w:val="center"/>
          </w:tcPr>
          <w:p>
            <w:pPr>
              <w:rPr>
                <w:color w:val="FF0000"/>
                <w:kern w:val="0"/>
                <w:szCs w:val="21"/>
              </w:rPr>
            </w:pPr>
          </w:p>
        </w:tc>
        <w:tc>
          <w:tcPr>
            <w:tcW w:w="3909" w:type="dxa"/>
            <w:vAlign w:val="center"/>
          </w:tcPr>
          <w:p>
            <w:pPr>
              <w:jc w:val="left"/>
              <w:rPr>
                <w:color w:val="000000"/>
                <w:kern w:val="0"/>
                <w:szCs w:val="21"/>
              </w:rPr>
            </w:pPr>
          </w:p>
        </w:tc>
        <w:tc>
          <w:tcPr>
            <w:tcW w:w="3320" w:type="dxa"/>
            <w:gridSpan w:val="2"/>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976" w:type="dxa"/>
            <w:vMerge w:val="continue"/>
            <w:vAlign w:val="center"/>
          </w:tcPr>
          <w:p>
            <w:pPr>
              <w:rPr>
                <w:rFonts w:hint="eastAsia"/>
                <w:kern w:val="0"/>
                <w:sz w:val="24"/>
                <w:szCs w:val="24"/>
              </w:rPr>
            </w:pPr>
          </w:p>
        </w:tc>
        <w:tc>
          <w:tcPr>
            <w:tcW w:w="1096" w:type="dxa"/>
            <w:vMerge w:val="continue"/>
            <w:vAlign w:val="center"/>
          </w:tcPr>
          <w:p>
            <w:pPr>
              <w:rPr>
                <w:rFonts w:hint="eastAsia"/>
                <w:kern w:val="0"/>
                <w:sz w:val="24"/>
                <w:szCs w:val="24"/>
              </w:rPr>
            </w:pPr>
          </w:p>
        </w:tc>
        <w:tc>
          <w:tcPr>
            <w:tcW w:w="2836" w:type="dxa"/>
            <w:vAlign w:val="center"/>
          </w:tcPr>
          <w:p>
            <w:pPr>
              <w:widowControl/>
              <w:jc w:val="left"/>
              <w:textAlignment w:val="top"/>
              <w:rPr>
                <w:rFonts w:hint="eastAsia"/>
                <w:color w:val="000000"/>
                <w:sz w:val="21"/>
                <w:szCs w:val="22"/>
              </w:rPr>
            </w:pPr>
            <w:r>
              <w:rPr>
                <w:rStyle w:val="26"/>
                <w:rFonts w:hint="eastAsia" w:ascii="宋体" w:cs="宋体"/>
                <w:lang w:bidi="ar"/>
              </w:rPr>
              <w:t>17.</w:t>
            </w:r>
            <w:r>
              <w:rPr>
                <w:rStyle w:val="25"/>
                <w:rFonts w:hint="eastAsia"/>
                <w:lang w:bidi="ar"/>
              </w:rPr>
              <w:t>建立并执行符合法律法规要求的揽收快件验视、复核制度，</w:t>
            </w:r>
            <w:r>
              <w:rPr>
                <w:rStyle w:val="27"/>
                <w:rFonts w:hint="eastAsia"/>
                <w:lang w:bidi="ar"/>
              </w:rPr>
              <w:t>对揽收承运的出境快件</w:t>
            </w:r>
            <w:r>
              <w:rPr>
                <w:rStyle w:val="25"/>
                <w:rFonts w:hint="eastAsia"/>
                <w:lang w:bidi="ar"/>
              </w:rPr>
              <w:t>实施过机检查。</w:t>
            </w:r>
          </w:p>
        </w:tc>
        <w:tc>
          <w:tcPr>
            <w:tcW w:w="3705" w:type="dxa"/>
            <w:vAlign w:val="center"/>
          </w:tcPr>
          <w:p>
            <w:pPr>
              <w:rPr>
                <w:color w:val="FF0000"/>
                <w:kern w:val="0"/>
                <w:szCs w:val="21"/>
              </w:rPr>
            </w:pPr>
          </w:p>
        </w:tc>
        <w:tc>
          <w:tcPr>
            <w:tcW w:w="3909" w:type="dxa"/>
            <w:vAlign w:val="center"/>
          </w:tcPr>
          <w:p>
            <w:pPr>
              <w:jc w:val="left"/>
              <w:rPr>
                <w:color w:val="000000"/>
                <w:kern w:val="0"/>
                <w:szCs w:val="21"/>
              </w:rPr>
            </w:pPr>
          </w:p>
        </w:tc>
        <w:tc>
          <w:tcPr>
            <w:tcW w:w="3320" w:type="dxa"/>
            <w:gridSpan w:val="2"/>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976" w:type="dxa"/>
            <w:vMerge w:val="continue"/>
            <w:vAlign w:val="center"/>
          </w:tcPr>
          <w:p>
            <w:pPr>
              <w:rPr>
                <w:rFonts w:hint="eastAsia"/>
                <w:kern w:val="0"/>
                <w:sz w:val="24"/>
                <w:szCs w:val="24"/>
              </w:rPr>
            </w:pPr>
          </w:p>
        </w:tc>
        <w:tc>
          <w:tcPr>
            <w:tcW w:w="1096" w:type="dxa"/>
            <w:vMerge w:val="continue"/>
            <w:vAlign w:val="center"/>
          </w:tcPr>
          <w:p>
            <w:pPr>
              <w:rPr>
                <w:rFonts w:hint="eastAsia"/>
                <w:kern w:val="0"/>
                <w:sz w:val="24"/>
                <w:szCs w:val="24"/>
              </w:rPr>
            </w:pPr>
          </w:p>
        </w:tc>
        <w:tc>
          <w:tcPr>
            <w:tcW w:w="2836" w:type="dxa"/>
            <w:vAlign w:val="center"/>
          </w:tcPr>
          <w:p>
            <w:pPr>
              <w:widowControl/>
              <w:jc w:val="left"/>
              <w:textAlignment w:val="top"/>
              <w:rPr>
                <w:rFonts w:hint="eastAsia"/>
                <w:color w:val="000000"/>
                <w:sz w:val="21"/>
                <w:szCs w:val="22"/>
              </w:rPr>
            </w:pPr>
            <w:r>
              <w:rPr>
                <w:rStyle w:val="26"/>
                <w:rFonts w:hint="eastAsia" w:ascii="宋体" w:cs="宋体"/>
                <w:lang w:bidi="ar"/>
              </w:rPr>
              <w:t>18.</w:t>
            </w:r>
            <w:r>
              <w:rPr>
                <w:rStyle w:val="25"/>
                <w:rFonts w:hint="eastAsia"/>
                <w:lang w:bidi="ar"/>
              </w:rPr>
              <w:t>信息系统应当具备全程实时快件物流信息跟踪功能，能够查询、记录快件的揽收、分拣、口岸、货类、签收、申报收件地、实际派送地等信息；</w:t>
            </w:r>
            <w:r>
              <w:rPr>
                <w:rStyle w:val="25"/>
                <w:lang w:bidi="ar"/>
              </w:rPr>
              <w:t>对境内交由其他物流企业派送的包裹，能够提供实时物流和妥投数据。</w:t>
            </w:r>
          </w:p>
        </w:tc>
        <w:tc>
          <w:tcPr>
            <w:tcW w:w="3705" w:type="dxa"/>
            <w:vAlign w:val="center"/>
          </w:tcPr>
          <w:p>
            <w:pPr>
              <w:rPr>
                <w:color w:val="FF0000"/>
                <w:kern w:val="0"/>
                <w:szCs w:val="21"/>
              </w:rPr>
            </w:pPr>
          </w:p>
        </w:tc>
        <w:tc>
          <w:tcPr>
            <w:tcW w:w="3909" w:type="dxa"/>
            <w:vAlign w:val="center"/>
          </w:tcPr>
          <w:p>
            <w:pPr>
              <w:jc w:val="left"/>
              <w:rPr>
                <w:color w:val="000000"/>
                <w:kern w:val="0"/>
                <w:szCs w:val="21"/>
              </w:rPr>
            </w:pPr>
          </w:p>
        </w:tc>
        <w:tc>
          <w:tcPr>
            <w:tcW w:w="3320" w:type="dxa"/>
            <w:gridSpan w:val="2"/>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976" w:type="dxa"/>
            <w:vMerge w:val="continue"/>
            <w:vAlign w:val="center"/>
          </w:tcPr>
          <w:p>
            <w:pPr>
              <w:rPr>
                <w:rFonts w:hint="eastAsia"/>
                <w:kern w:val="0"/>
                <w:sz w:val="24"/>
                <w:szCs w:val="24"/>
              </w:rPr>
            </w:pPr>
          </w:p>
        </w:tc>
        <w:tc>
          <w:tcPr>
            <w:tcW w:w="1096" w:type="dxa"/>
            <w:vMerge w:val="continue"/>
            <w:vAlign w:val="center"/>
          </w:tcPr>
          <w:p>
            <w:pPr>
              <w:rPr>
                <w:rFonts w:hint="eastAsia"/>
                <w:kern w:val="0"/>
                <w:sz w:val="24"/>
                <w:szCs w:val="24"/>
              </w:rPr>
            </w:pPr>
          </w:p>
        </w:tc>
        <w:tc>
          <w:tcPr>
            <w:tcW w:w="2836" w:type="dxa"/>
            <w:vAlign w:val="center"/>
          </w:tcPr>
          <w:p>
            <w:pPr>
              <w:widowControl/>
              <w:jc w:val="left"/>
              <w:textAlignment w:val="top"/>
              <w:rPr>
                <w:rFonts w:hint="eastAsia"/>
                <w:color w:val="000000"/>
                <w:sz w:val="21"/>
                <w:szCs w:val="22"/>
              </w:rPr>
            </w:pPr>
            <w:r>
              <w:rPr>
                <w:rStyle w:val="26"/>
                <w:rFonts w:hint="eastAsia" w:ascii="宋体" w:cs="宋体"/>
                <w:lang w:bidi="ar"/>
              </w:rPr>
              <w:t>19.</w:t>
            </w:r>
            <w:r>
              <w:rPr>
                <w:rStyle w:val="25"/>
                <w:rFonts w:hint="eastAsia"/>
                <w:lang w:bidi="ar"/>
              </w:rPr>
              <w:t>建立并执行快件风险防控制度，能够</w:t>
            </w:r>
            <w:r>
              <w:rPr>
                <w:rStyle w:val="27"/>
                <w:rFonts w:hint="eastAsia"/>
                <w:lang w:bidi="ar"/>
              </w:rPr>
              <w:t>识别高风险收发件人、高风险快件，</w:t>
            </w:r>
            <w:r>
              <w:rPr>
                <w:rStyle w:val="25"/>
                <w:rFonts w:hint="eastAsia"/>
                <w:lang w:bidi="ar"/>
              </w:rPr>
              <w:t>发现《中华人民共和国禁止进出境物品表》所列物品、有违法嫌疑或高风险快件的，立即通知海关并协助海关进行处理。</w:t>
            </w:r>
          </w:p>
        </w:tc>
        <w:tc>
          <w:tcPr>
            <w:tcW w:w="3705" w:type="dxa"/>
            <w:vAlign w:val="center"/>
          </w:tcPr>
          <w:p>
            <w:pPr>
              <w:rPr>
                <w:color w:val="FF0000"/>
                <w:kern w:val="0"/>
                <w:szCs w:val="21"/>
              </w:rPr>
            </w:pPr>
          </w:p>
        </w:tc>
        <w:tc>
          <w:tcPr>
            <w:tcW w:w="3909" w:type="dxa"/>
            <w:vAlign w:val="center"/>
          </w:tcPr>
          <w:p>
            <w:pPr>
              <w:jc w:val="left"/>
              <w:rPr>
                <w:color w:val="000000"/>
                <w:kern w:val="0"/>
                <w:szCs w:val="21"/>
              </w:rPr>
            </w:pPr>
          </w:p>
        </w:tc>
        <w:tc>
          <w:tcPr>
            <w:tcW w:w="3320" w:type="dxa"/>
            <w:gridSpan w:val="2"/>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976" w:type="dxa"/>
            <w:tcBorders>
              <w:top w:val="single" w:color="auto" w:sz="4" w:space="0"/>
            </w:tcBorders>
            <w:vAlign w:val="center"/>
          </w:tcPr>
          <w:p>
            <w:pPr>
              <w:rPr>
                <w:rFonts w:hint="eastAsia"/>
                <w:kern w:val="0"/>
                <w:sz w:val="24"/>
                <w:szCs w:val="24"/>
              </w:rPr>
            </w:pPr>
          </w:p>
        </w:tc>
        <w:tc>
          <w:tcPr>
            <w:tcW w:w="1096" w:type="dxa"/>
            <w:vMerge w:val="restart"/>
            <w:vAlign w:val="center"/>
          </w:tcPr>
          <w:p>
            <w:pPr>
              <w:widowControl/>
              <w:jc w:val="left"/>
              <w:textAlignment w:val="top"/>
              <w:rPr>
                <w:rFonts w:hint="eastAsia"/>
                <w:kern w:val="0"/>
                <w:sz w:val="24"/>
                <w:szCs w:val="24"/>
              </w:rPr>
            </w:pPr>
            <w:r>
              <w:rPr>
                <w:rFonts w:hint="eastAsia" w:ascii="宋体" w:cs="宋体"/>
                <w:color w:val="000000"/>
                <w:kern w:val="0"/>
                <w:sz w:val="24"/>
                <w:lang w:bidi="ar"/>
              </w:rPr>
              <w:t>八、物流运输业务</w:t>
            </w:r>
          </w:p>
        </w:tc>
        <w:tc>
          <w:tcPr>
            <w:tcW w:w="2836" w:type="dxa"/>
            <w:vAlign w:val="center"/>
          </w:tcPr>
          <w:p>
            <w:pPr>
              <w:widowControl/>
              <w:jc w:val="left"/>
              <w:textAlignment w:val="top"/>
              <w:rPr>
                <w:rFonts w:hint="eastAsia"/>
                <w:color w:val="000000"/>
                <w:sz w:val="21"/>
                <w:szCs w:val="22"/>
              </w:rPr>
            </w:pPr>
            <w:r>
              <w:rPr>
                <w:rFonts w:hint="eastAsia" w:ascii="宋体" w:cs="宋体"/>
                <w:bCs/>
                <w:color w:val="000000"/>
                <w:kern w:val="0"/>
                <w:szCs w:val="21"/>
                <w:lang w:bidi="ar"/>
              </w:rPr>
              <w:t>20.企业从事跨境物流运输业务或者境内海关监管货物物流运输业务且直接负责运输工具经营管理。</w:t>
            </w:r>
          </w:p>
        </w:tc>
        <w:tc>
          <w:tcPr>
            <w:tcW w:w="3705" w:type="dxa"/>
            <w:vAlign w:val="center"/>
          </w:tcPr>
          <w:p>
            <w:pPr>
              <w:rPr>
                <w:color w:val="FF0000"/>
                <w:kern w:val="0"/>
                <w:szCs w:val="21"/>
              </w:rPr>
            </w:pPr>
          </w:p>
        </w:tc>
        <w:tc>
          <w:tcPr>
            <w:tcW w:w="3909" w:type="dxa"/>
            <w:vAlign w:val="center"/>
          </w:tcPr>
          <w:p>
            <w:pPr>
              <w:jc w:val="left"/>
              <w:rPr>
                <w:color w:val="000000"/>
                <w:kern w:val="0"/>
                <w:szCs w:val="21"/>
              </w:rPr>
            </w:pPr>
          </w:p>
        </w:tc>
        <w:tc>
          <w:tcPr>
            <w:tcW w:w="3320" w:type="dxa"/>
            <w:gridSpan w:val="2"/>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976" w:type="dxa"/>
            <w:vMerge w:val="restart"/>
            <w:tcBorders>
              <w:top w:val="single" w:color="auto" w:sz="4" w:space="0"/>
            </w:tcBorders>
            <w:vAlign w:val="center"/>
          </w:tcPr>
          <w:p>
            <w:pPr>
              <w:rPr>
                <w:rFonts w:hint="eastAsia"/>
                <w:kern w:val="0"/>
                <w:sz w:val="24"/>
                <w:szCs w:val="24"/>
              </w:rPr>
            </w:pPr>
          </w:p>
        </w:tc>
        <w:tc>
          <w:tcPr>
            <w:tcW w:w="1096" w:type="dxa"/>
            <w:vMerge w:val="continue"/>
            <w:vAlign w:val="center"/>
          </w:tcPr>
          <w:p>
            <w:pPr>
              <w:rPr>
                <w:rFonts w:hint="eastAsia"/>
                <w:kern w:val="0"/>
                <w:sz w:val="24"/>
                <w:szCs w:val="24"/>
              </w:rPr>
            </w:pPr>
          </w:p>
        </w:tc>
        <w:tc>
          <w:tcPr>
            <w:tcW w:w="2836" w:type="dxa"/>
            <w:vAlign w:val="center"/>
          </w:tcPr>
          <w:p>
            <w:pPr>
              <w:widowControl/>
              <w:jc w:val="left"/>
              <w:textAlignment w:val="top"/>
              <w:rPr>
                <w:rFonts w:hint="eastAsia"/>
                <w:color w:val="000000"/>
                <w:sz w:val="21"/>
                <w:szCs w:val="22"/>
              </w:rPr>
            </w:pPr>
            <w:r>
              <w:rPr>
                <w:rStyle w:val="25"/>
                <w:rFonts w:hint="eastAsia"/>
                <w:lang w:bidi="ar"/>
              </w:rPr>
              <w:t>21.建立并执行控制运输工具按规定区域和路线行驶的管理制度，能够实时掌握运输工具的行驶状态、路线，保存运输工具行驶轨迹数据记录。</w:t>
            </w:r>
          </w:p>
        </w:tc>
        <w:tc>
          <w:tcPr>
            <w:tcW w:w="3705" w:type="dxa"/>
            <w:vAlign w:val="center"/>
          </w:tcPr>
          <w:p>
            <w:pPr>
              <w:rPr>
                <w:color w:val="FF0000"/>
                <w:kern w:val="0"/>
                <w:szCs w:val="21"/>
              </w:rPr>
            </w:pPr>
          </w:p>
        </w:tc>
        <w:tc>
          <w:tcPr>
            <w:tcW w:w="3909" w:type="dxa"/>
            <w:vAlign w:val="center"/>
          </w:tcPr>
          <w:p>
            <w:pPr>
              <w:jc w:val="left"/>
              <w:rPr>
                <w:color w:val="000000"/>
                <w:kern w:val="0"/>
                <w:szCs w:val="21"/>
              </w:rPr>
            </w:pPr>
          </w:p>
        </w:tc>
        <w:tc>
          <w:tcPr>
            <w:tcW w:w="3320" w:type="dxa"/>
            <w:gridSpan w:val="2"/>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976" w:type="dxa"/>
            <w:vMerge w:val="continue"/>
            <w:vAlign w:val="center"/>
          </w:tcPr>
          <w:p>
            <w:pPr>
              <w:rPr>
                <w:rFonts w:hint="eastAsia"/>
                <w:kern w:val="0"/>
                <w:sz w:val="24"/>
                <w:szCs w:val="24"/>
              </w:rPr>
            </w:pPr>
          </w:p>
        </w:tc>
        <w:tc>
          <w:tcPr>
            <w:tcW w:w="1096" w:type="dxa"/>
            <w:vMerge w:val="continue"/>
            <w:vAlign w:val="center"/>
          </w:tcPr>
          <w:p>
            <w:pPr>
              <w:rPr>
                <w:rFonts w:hint="eastAsia"/>
                <w:kern w:val="0"/>
                <w:sz w:val="24"/>
                <w:szCs w:val="24"/>
              </w:rPr>
            </w:pPr>
          </w:p>
        </w:tc>
        <w:tc>
          <w:tcPr>
            <w:tcW w:w="2836" w:type="dxa"/>
            <w:vAlign w:val="center"/>
          </w:tcPr>
          <w:p>
            <w:pPr>
              <w:widowControl/>
              <w:jc w:val="left"/>
              <w:textAlignment w:val="top"/>
              <w:rPr>
                <w:rFonts w:hint="eastAsia"/>
                <w:color w:val="000000"/>
                <w:sz w:val="21"/>
                <w:szCs w:val="22"/>
              </w:rPr>
            </w:pPr>
            <w:r>
              <w:rPr>
                <w:rStyle w:val="26"/>
                <w:rFonts w:hint="eastAsia" w:ascii="宋体" w:cs="宋体"/>
              </w:rPr>
              <w:t>22.</w:t>
            </w:r>
            <w:r>
              <w:rPr>
                <w:rStyle w:val="25"/>
                <w:rFonts w:hint="eastAsia"/>
                <w:lang w:bidi="ar"/>
              </w:rPr>
              <w:t>建立并执行运输工具驾驶人员与运输工具的匹配管理制度。载运前运输企业应当向客户发送公路运输车辆号牌、驾驶人员信息。</w:t>
            </w:r>
          </w:p>
        </w:tc>
        <w:tc>
          <w:tcPr>
            <w:tcW w:w="3705" w:type="dxa"/>
            <w:vAlign w:val="center"/>
          </w:tcPr>
          <w:p>
            <w:pPr>
              <w:rPr>
                <w:color w:val="FF0000"/>
                <w:kern w:val="0"/>
                <w:szCs w:val="21"/>
              </w:rPr>
            </w:pPr>
          </w:p>
        </w:tc>
        <w:tc>
          <w:tcPr>
            <w:tcW w:w="3909" w:type="dxa"/>
            <w:vAlign w:val="center"/>
          </w:tcPr>
          <w:p>
            <w:pPr>
              <w:jc w:val="left"/>
              <w:rPr>
                <w:color w:val="000000"/>
                <w:kern w:val="0"/>
                <w:szCs w:val="21"/>
              </w:rPr>
            </w:pPr>
          </w:p>
        </w:tc>
        <w:tc>
          <w:tcPr>
            <w:tcW w:w="3320" w:type="dxa"/>
            <w:gridSpan w:val="2"/>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976" w:type="dxa"/>
            <w:vMerge w:val="restart"/>
            <w:tcBorders>
              <w:top w:val="single" w:color="auto" w:sz="4" w:space="0"/>
            </w:tcBorders>
            <w:vAlign w:val="center"/>
          </w:tcPr>
          <w:p>
            <w:pPr>
              <w:rPr>
                <w:rFonts w:hint="eastAsia"/>
                <w:kern w:val="0"/>
                <w:sz w:val="24"/>
                <w:szCs w:val="24"/>
              </w:rPr>
            </w:pPr>
          </w:p>
        </w:tc>
        <w:tc>
          <w:tcPr>
            <w:tcW w:w="1096" w:type="dxa"/>
            <w:vMerge w:val="restart"/>
            <w:vAlign w:val="center"/>
          </w:tcPr>
          <w:p>
            <w:pPr>
              <w:widowControl/>
              <w:jc w:val="left"/>
              <w:textAlignment w:val="top"/>
              <w:rPr>
                <w:rFonts w:hint="eastAsia"/>
                <w:kern w:val="0"/>
                <w:sz w:val="24"/>
                <w:szCs w:val="24"/>
              </w:rPr>
            </w:pPr>
            <w:r>
              <w:rPr>
                <w:rFonts w:hint="eastAsia" w:ascii="宋体" w:cs="宋体"/>
                <w:color w:val="000000"/>
                <w:kern w:val="0"/>
                <w:sz w:val="24"/>
                <w:lang w:bidi="ar"/>
              </w:rPr>
              <w:t>九、跨境电子商务平台业务</w:t>
            </w:r>
          </w:p>
        </w:tc>
        <w:tc>
          <w:tcPr>
            <w:tcW w:w="2836" w:type="dxa"/>
            <w:vAlign w:val="center"/>
          </w:tcPr>
          <w:p>
            <w:pPr>
              <w:widowControl/>
              <w:jc w:val="left"/>
              <w:textAlignment w:val="top"/>
              <w:rPr>
                <w:rFonts w:hint="eastAsia"/>
                <w:color w:val="000000"/>
                <w:sz w:val="21"/>
                <w:szCs w:val="22"/>
              </w:rPr>
            </w:pPr>
            <w:r>
              <w:rPr>
                <w:rStyle w:val="26"/>
                <w:rFonts w:hint="eastAsia" w:ascii="宋体" w:cs="宋体"/>
                <w:lang w:bidi="ar"/>
              </w:rPr>
              <w:t>23.</w:t>
            </w:r>
            <w:r>
              <w:rPr>
                <w:rStyle w:val="25"/>
                <w:rFonts w:hint="eastAsia"/>
                <w:lang w:bidi="ar"/>
              </w:rPr>
              <w:t>建立并执行对进入平台销售的商品是否符合跨境电商有关监管要求的审核制度。</w:t>
            </w:r>
          </w:p>
        </w:tc>
        <w:tc>
          <w:tcPr>
            <w:tcW w:w="3705" w:type="dxa"/>
            <w:vAlign w:val="center"/>
          </w:tcPr>
          <w:p>
            <w:pPr>
              <w:rPr>
                <w:color w:val="FF0000"/>
                <w:kern w:val="0"/>
                <w:szCs w:val="21"/>
              </w:rPr>
            </w:pPr>
          </w:p>
        </w:tc>
        <w:tc>
          <w:tcPr>
            <w:tcW w:w="3909" w:type="dxa"/>
            <w:vAlign w:val="center"/>
          </w:tcPr>
          <w:p>
            <w:pPr>
              <w:jc w:val="left"/>
              <w:rPr>
                <w:color w:val="000000"/>
                <w:kern w:val="0"/>
                <w:szCs w:val="21"/>
              </w:rPr>
            </w:pPr>
          </w:p>
        </w:tc>
        <w:tc>
          <w:tcPr>
            <w:tcW w:w="3320" w:type="dxa"/>
            <w:gridSpan w:val="2"/>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976" w:type="dxa"/>
            <w:vMerge w:val="continue"/>
            <w:vAlign w:val="center"/>
          </w:tcPr>
          <w:p>
            <w:pPr>
              <w:rPr>
                <w:rFonts w:hint="eastAsia"/>
                <w:kern w:val="0"/>
                <w:sz w:val="24"/>
                <w:szCs w:val="24"/>
              </w:rPr>
            </w:pPr>
          </w:p>
        </w:tc>
        <w:tc>
          <w:tcPr>
            <w:tcW w:w="1096" w:type="dxa"/>
            <w:vMerge w:val="continue"/>
            <w:vAlign w:val="center"/>
          </w:tcPr>
          <w:p>
            <w:pPr>
              <w:rPr>
                <w:rFonts w:hint="eastAsia"/>
                <w:kern w:val="0"/>
                <w:sz w:val="24"/>
                <w:szCs w:val="24"/>
              </w:rPr>
            </w:pPr>
          </w:p>
        </w:tc>
        <w:tc>
          <w:tcPr>
            <w:tcW w:w="2836" w:type="dxa"/>
            <w:vAlign w:val="center"/>
          </w:tcPr>
          <w:p>
            <w:pPr>
              <w:widowControl/>
              <w:jc w:val="left"/>
              <w:textAlignment w:val="top"/>
              <w:rPr>
                <w:rFonts w:hint="eastAsia"/>
                <w:color w:val="000000"/>
                <w:sz w:val="21"/>
                <w:szCs w:val="22"/>
              </w:rPr>
            </w:pPr>
            <w:r>
              <w:rPr>
                <w:rStyle w:val="26"/>
                <w:rFonts w:hint="eastAsia" w:ascii="宋体" w:cs="宋体"/>
                <w:lang w:bidi="ar"/>
              </w:rPr>
              <w:t>24.</w:t>
            </w:r>
            <w:r>
              <w:rPr>
                <w:rStyle w:val="25"/>
                <w:rFonts w:hint="eastAsia"/>
                <w:lang w:bidi="ar"/>
              </w:rPr>
              <w:t>如实向海关实时传输施加电子签名的跨境电商交易电子信息，并对真实性、完整性和有效性进行合理审查。</w:t>
            </w:r>
          </w:p>
        </w:tc>
        <w:tc>
          <w:tcPr>
            <w:tcW w:w="3705" w:type="dxa"/>
            <w:vAlign w:val="center"/>
          </w:tcPr>
          <w:p>
            <w:pPr>
              <w:rPr>
                <w:color w:val="FF0000"/>
                <w:kern w:val="0"/>
                <w:szCs w:val="21"/>
              </w:rPr>
            </w:pPr>
          </w:p>
        </w:tc>
        <w:tc>
          <w:tcPr>
            <w:tcW w:w="3909" w:type="dxa"/>
            <w:vAlign w:val="center"/>
          </w:tcPr>
          <w:p>
            <w:pPr>
              <w:jc w:val="left"/>
              <w:rPr>
                <w:color w:val="000000"/>
                <w:kern w:val="0"/>
                <w:szCs w:val="21"/>
              </w:rPr>
            </w:pPr>
          </w:p>
        </w:tc>
        <w:tc>
          <w:tcPr>
            <w:tcW w:w="3320" w:type="dxa"/>
            <w:gridSpan w:val="2"/>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976" w:type="dxa"/>
            <w:vMerge w:val="continue"/>
            <w:vAlign w:val="center"/>
          </w:tcPr>
          <w:p>
            <w:pPr>
              <w:rPr>
                <w:rFonts w:hint="eastAsia"/>
                <w:kern w:val="0"/>
                <w:sz w:val="24"/>
                <w:szCs w:val="24"/>
              </w:rPr>
            </w:pPr>
          </w:p>
        </w:tc>
        <w:tc>
          <w:tcPr>
            <w:tcW w:w="1096" w:type="dxa"/>
            <w:vMerge w:val="continue"/>
            <w:vAlign w:val="center"/>
          </w:tcPr>
          <w:p>
            <w:pPr>
              <w:rPr>
                <w:rFonts w:hint="eastAsia"/>
                <w:kern w:val="0"/>
                <w:sz w:val="24"/>
                <w:szCs w:val="24"/>
              </w:rPr>
            </w:pPr>
          </w:p>
        </w:tc>
        <w:tc>
          <w:tcPr>
            <w:tcW w:w="2836" w:type="dxa"/>
            <w:vAlign w:val="center"/>
          </w:tcPr>
          <w:p>
            <w:pPr>
              <w:widowControl/>
              <w:jc w:val="left"/>
              <w:textAlignment w:val="top"/>
              <w:rPr>
                <w:rFonts w:hint="eastAsia"/>
                <w:color w:val="000000"/>
                <w:sz w:val="21"/>
                <w:szCs w:val="22"/>
              </w:rPr>
            </w:pPr>
            <w:r>
              <w:rPr>
                <w:rStyle w:val="26"/>
                <w:rFonts w:hint="eastAsia" w:ascii="宋体" w:cs="宋体"/>
                <w:lang w:bidi="ar"/>
              </w:rPr>
              <w:t>25.</w:t>
            </w:r>
            <w:r>
              <w:rPr>
                <w:rStyle w:val="25"/>
                <w:rFonts w:hint="eastAsia"/>
                <w:lang w:bidi="ar"/>
              </w:rPr>
              <w:t>建立并执行防止虚假交易及二次销售的风险防控制度，能够对境内订购人身份信息真实性进行校验，利用平台运营所积累的数据</w:t>
            </w:r>
            <w:r>
              <w:rPr>
                <w:rStyle w:val="26"/>
                <w:rFonts w:hint="eastAsia" w:ascii="宋体" w:cs="宋体"/>
                <w:lang w:bidi="ar"/>
              </w:rPr>
              <w:t>对商品归类、价格等准入、税收要素，产品质量和交易真实性进行监控</w:t>
            </w:r>
            <w:r>
              <w:rPr>
                <w:rStyle w:val="25"/>
                <w:rFonts w:hint="eastAsia"/>
                <w:lang w:bidi="ar"/>
              </w:rPr>
              <w:t>。</w:t>
            </w:r>
          </w:p>
        </w:tc>
        <w:tc>
          <w:tcPr>
            <w:tcW w:w="3705" w:type="dxa"/>
            <w:vAlign w:val="center"/>
          </w:tcPr>
          <w:p>
            <w:pPr>
              <w:rPr>
                <w:color w:val="FF0000"/>
                <w:kern w:val="0"/>
                <w:szCs w:val="21"/>
              </w:rPr>
            </w:pPr>
          </w:p>
        </w:tc>
        <w:tc>
          <w:tcPr>
            <w:tcW w:w="3909" w:type="dxa"/>
            <w:vAlign w:val="center"/>
          </w:tcPr>
          <w:p>
            <w:pPr>
              <w:jc w:val="left"/>
              <w:rPr>
                <w:color w:val="000000"/>
                <w:kern w:val="0"/>
                <w:szCs w:val="21"/>
              </w:rPr>
            </w:pPr>
          </w:p>
        </w:tc>
        <w:tc>
          <w:tcPr>
            <w:tcW w:w="3320" w:type="dxa"/>
            <w:gridSpan w:val="2"/>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976" w:type="dxa"/>
            <w:vMerge w:val="continue"/>
            <w:vAlign w:val="center"/>
          </w:tcPr>
          <w:p>
            <w:pPr>
              <w:rPr>
                <w:rFonts w:hint="eastAsia"/>
                <w:kern w:val="0"/>
                <w:sz w:val="24"/>
                <w:szCs w:val="24"/>
              </w:rPr>
            </w:pPr>
          </w:p>
        </w:tc>
        <w:tc>
          <w:tcPr>
            <w:tcW w:w="1096" w:type="dxa"/>
            <w:vMerge w:val="continue"/>
            <w:vAlign w:val="center"/>
          </w:tcPr>
          <w:p>
            <w:pPr>
              <w:rPr>
                <w:rFonts w:hint="eastAsia"/>
                <w:kern w:val="0"/>
                <w:sz w:val="24"/>
                <w:szCs w:val="24"/>
              </w:rPr>
            </w:pPr>
          </w:p>
        </w:tc>
        <w:tc>
          <w:tcPr>
            <w:tcW w:w="2836" w:type="dxa"/>
            <w:vAlign w:val="center"/>
          </w:tcPr>
          <w:p>
            <w:pPr>
              <w:widowControl/>
              <w:jc w:val="left"/>
              <w:textAlignment w:val="top"/>
              <w:rPr>
                <w:rFonts w:hint="eastAsia"/>
                <w:color w:val="000000"/>
                <w:sz w:val="21"/>
                <w:szCs w:val="22"/>
              </w:rPr>
            </w:pPr>
            <w:r>
              <w:rPr>
                <w:rStyle w:val="26"/>
                <w:rFonts w:hint="eastAsia" w:ascii="宋体" w:cs="宋体"/>
                <w:lang w:bidi="ar"/>
              </w:rPr>
              <w:t>26.</w:t>
            </w:r>
            <w:r>
              <w:rPr>
                <w:rStyle w:val="25"/>
                <w:rFonts w:hint="eastAsia"/>
                <w:lang w:bidi="ar"/>
              </w:rPr>
              <w:t>建立并执行对跨境电子商务企业及其境内代理人的身份、地址、资质等信息的审核制度，定期对上述信息进行核验、更新。</w:t>
            </w:r>
          </w:p>
        </w:tc>
        <w:tc>
          <w:tcPr>
            <w:tcW w:w="3705" w:type="dxa"/>
            <w:vAlign w:val="center"/>
          </w:tcPr>
          <w:p>
            <w:pPr>
              <w:rPr>
                <w:color w:val="FF0000"/>
                <w:kern w:val="0"/>
                <w:szCs w:val="21"/>
              </w:rPr>
            </w:pPr>
          </w:p>
        </w:tc>
        <w:tc>
          <w:tcPr>
            <w:tcW w:w="3909" w:type="dxa"/>
            <w:vAlign w:val="center"/>
          </w:tcPr>
          <w:p>
            <w:pPr>
              <w:jc w:val="left"/>
              <w:rPr>
                <w:color w:val="000000"/>
                <w:kern w:val="0"/>
                <w:szCs w:val="21"/>
              </w:rPr>
            </w:pPr>
          </w:p>
        </w:tc>
        <w:tc>
          <w:tcPr>
            <w:tcW w:w="3320" w:type="dxa"/>
            <w:gridSpan w:val="2"/>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976" w:type="dxa"/>
            <w:vMerge w:val="restart"/>
            <w:tcBorders>
              <w:top w:val="single" w:color="auto" w:sz="4" w:space="0"/>
            </w:tcBorders>
            <w:vAlign w:val="center"/>
          </w:tcPr>
          <w:p>
            <w:pPr>
              <w:rPr>
                <w:rFonts w:hint="eastAsia"/>
                <w:kern w:val="0"/>
                <w:sz w:val="24"/>
                <w:szCs w:val="24"/>
              </w:rPr>
            </w:pPr>
          </w:p>
        </w:tc>
        <w:tc>
          <w:tcPr>
            <w:tcW w:w="1096" w:type="dxa"/>
            <w:vMerge w:val="continue"/>
            <w:vAlign w:val="center"/>
          </w:tcPr>
          <w:p>
            <w:pPr>
              <w:rPr>
                <w:rFonts w:hint="eastAsia"/>
                <w:kern w:val="0"/>
                <w:sz w:val="24"/>
                <w:szCs w:val="24"/>
              </w:rPr>
            </w:pPr>
          </w:p>
        </w:tc>
        <w:tc>
          <w:tcPr>
            <w:tcW w:w="2836" w:type="dxa"/>
            <w:vAlign w:val="center"/>
          </w:tcPr>
          <w:p>
            <w:pPr>
              <w:widowControl/>
              <w:jc w:val="left"/>
              <w:textAlignment w:val="top"/>
              <w:rPr>
                <w:rFonts w:hint="eastAsia"/>
                <w:color w:val="000000"/>
                <w:sz w:val="21"/>
                <w:szCs w:val="22"/>
              </w:rPr>
            </w:pPr>
            <w:r>
              <w:rPr>
                <w:rStyle w:val="26"/>
                <w:rFonts w:hint="eastAsia" w:ascii="宋体" w:cs="宋体"/>
                <w:lang w:bidi="ar"/>
              </w:rPr>
              <w:t>27.</w:t>
            </w:r>
            <w:r>
              <w:rPr>
                <w:rStyle w:val="25"/>
                <w:rFonts w:hint="eastAsia"/>
                <w:lang w:bidi="ar"/>
              </w:rPr>
              <w:t>建立并执行对跨境电子商务企业及其境内代理人进行海关法律法规等相关规定的培训制度。</w:t>
            </w:r>
          </w:p>
        </w:tc>
        <w:tc>
          <w:tcPr>
            <w:tcW w:w="3705" w:type="dxa"/>
            <w:vAlign w:val="center"/>
          </w:tcPr>
          <w:p>
            <w:pPr>
              <w:rPr>
                <w:color w:val="FF0000"/>
                <w:kern w:val="0"/>
                <w:szCs w:val="21"/>
              </w:rPr>
            </w:pPr>
          </w:p>
        </w:tc>
        <w:tc>
          <w:tcPr>
            <w:tcW w:w="3909" w:type="dxa"/>
            <w:vAlign w:val="center"/>
          </w:tcPr>
          <w:p>
            <w:pPr>
              <w:jc w:val="left"/>
              <w:rPr>
                <w:color w:val="000000"/>
                <w:kern w:val="0"/>
                <w:szCs w:val="21"/>
              </w:rPr>
            </w:pPr>
          </w:p>
        </w:tc>
        <w:tc>
          <w:tcPr>
            <w:tcW w:w="3320" w:type="dxa"/>
            <w:gridSpan w:val="2"/>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976" w:type="dxa"/>
            <w:vMerge w:val="continue"/>
            <w:vAlign w:val="center"/>
          </w:tcPr>
          <w:p>
            <w:pPr>
              <w:rPr>
                <w:rFonts w:hint="eastAsia"/>
                <w:kern w:val="0"/>
                <w:sz w:val="24"/>
                <w:szCs w:val="24"/>
              </w:rPr>
            </w:pPr>
          </w:p>
        </w:tc>
        <w:tc>
          <w:tcPr>
            <w:tcW w:w="1096" w:type="dxa"/>
            <w:vMerge w:val="continue"/>
            <w:vAlign w:val="center"/>
          </w:tcPr>
          <w:p>
            <w:pPr>
              <w:rPr>
                <w:rFonts w:hint="eastAsia"/>
                <w:kern w:val="0"/>
                <w:sz w:val="24"/>
                <w:szCs w:val="24"/>
              </w:rPr>
            </w:pPr>
          </w:p>
        </w:tc>
        <w:tc>
          <w:tcPr>
            <w:tcW w:w="2836" w:type="dxa"/>
            <w:vAlign w:val="center"/>
          </w:tcPr>
          <w:p>
            <w:pPr>
              <w:widowControl/>
              <w:jc w:val="left"/>
              <w:textAlignment w:val="top"/>
              <w:rPr>
                <w:rFonts w:hint="eastAsia"/>
                <w:color w:val="000000"/>
                <w:sz w:val="21"/>
                <w:szCs w:val="22"/>
              </w:rPr>
            </w:pPr>
            <w:r>
              <w:rPr>
                <w:rStyle w:val="26"/>
                <w:rFonts w:hint="eastAsia" w:ascii="宋体" w:cs="宋体"/>
                <w:lang w:bidi="ar"/>
              </w:rPr>
              <w:t>28.</w:t>
            </w:r>
            <w:r>
              <w:rPr>
                <w:rStyle w:val="25"/>
                <w:rFonts w:hint="eastAsia"/>
                <w:lang w:bidi="ar"/>
              </w:rPr>
              <w:t>建立并执行对跨境电子商务企业及其境内代理人交易行为的监控制度，能够有效识别非正常交易行为并采取相应的处置措施。</w:t>
            </w:r>
          </w:p>
        </w:tc>
        <w:tc>
          <w:tcPr>
            <w:tcW w:w="3705" w:type="dxa"/>
            <w:vAlign w:val="center"/>
          </w:tcPr>
          <w:p>
            <w:pPr>
              <w:rPr>
                <w:color w:val="FF0000"/>
                <w:kern w:val="0"/>
                <w:szCs w:val="21"/>
              </w:rPr>
            </w:pPr>
          </w:p>
        </w:tc>
        <w:tc>
          <w:tcPr>
            <w:tcW w:w="3909" w:type="dxa"/>
            <w:vAlign w:val="center"/>
          </w:tcPr>
          <w:p>
            <w:pPr>
              <w:jc w:val="left"/>
              <w:rPr>
                <w:color w:val="000000"/>
                <w:kern w:val="0"/>
                <w:szCs w:val="21"/>
              </w:rPr>
            </w:pPr>
          </w:p>
        </w:tc>
        <w:tc>
          <w:tcPr>
            <w:tcW w:w="3320" w:type="dxa"/>
            <w:gridSpan w:val="2"/>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976" w:type="dxa"/>
            <w:vMerge w:val="continue"/>
            <w:vAlign w:val="center"/>
          </w:tcPr>
          <w:p>
            <w:pPr>
              <w:rPr>
                <w:rFonts w:hint="eastAsia"/>
                <w:kern w:val="0"/>
                <w:sz w:val="24"/>
                <w:szCs w:val="24"/>
              </w:rPr>
            </w:pPr>
          </w:p>
        </w:tc>
        <w:tc>
          <w:tcPr>
            <w:tcW w:w="1096" w:type="dxa"/>
            <w:vMerge w:val="continue"/>
            <w:vAlign w:val="center"/>
          </w:tcPr>
          <w:p>
            <w:pPr>
              <w:rPr>
                <w:rFonts w:hint="eastAsia"/>
                <w:kern w:val="0"/>
                <w:sz w:val="24"/>
                <w:szCs w:val="24"/>
              </w:rPr>
            </w:pPr>
          </w:p>
        </w:tc>
        <w:tc>
          <w:tcPr>
            <w:tcW w:w="2836" w:type="dxa"/>
            <w:vAlign w:val="center"/>
          </w:tcPr>
          <w:p>
            <w:pPr>
              <w:widowControl/>
              <w:jc w:val="left"/>
              <w:textAlignment w:val="top"/>
              <w:rPr>
                <w:rFonts w:hint="eastAsia"/>
                <w:color w:val="000000"/>
                <w:sz w:val="21"/>
                <w:szCs w:val="22"/>
              </w:rPr>
            </w:pPr>
            <w:r>
              <w:rPr>
                <w:rStyle w:val="26"/>
                <w:rFonts w:hint="eastAsia" w:ascii="宋体" w:cs="宋体"/>
                <w:lang w:bidi="ar"/>
              </w:rPr>
              <w:t>29.</w:t>
            </w:r>
            <w:r>
              <w:rPr>
                <w:rStyle w:val="25"/>
                <w:rFonts w:hint="eastAsia"/>
                <w:lang w:bidi="ar"/>
              </w:rPr>
              <w:t>根据风险评估结果、违法违规记录等建立并执行对跨境电子商务企业及其境内代理人的分级管理制度，对有违法违规记录的跨境电子商务企业及其境内代理人采取相应管控措施。</w:t>
            </w:r>
          </w:p>
        </w:tc>
        <w:tc>
          <w:tcPr>
            <w:tcW w:w="3705" w:type="dxa"/>
            <w:vAlign w:val="center"/>
          </w:tcPr>
          <w:p>
            <w:pPr>
              <w:rPr>
                <w:color w:val="FF0000"/>
                <w:kern w:val="0"/>
                <w:szCs w:val="21"/>
              </w:rPr>
            </w:pPr>
          </w:p>
        </w:tc>
        <w:tc>
          <w:tcPr>
            <w:tcW w:w="3909" w:type="dxa"/>
            <w:vAlign w:val="center"/>
          </w:tcPr>
          <w:p>
            <w:pPr>
              <w:jc w:val="left"/>
              <w:rPr>
                <w:color w:val="000000"/>
                <w:kern w:val="0"/>
                <w:szCs w:val="21"/>
              </w:rPr>
            </w:pPr>
          </w:p>
        </w:tc>
        <w:tc>
          <w:tcPr>
            <w:tcW w:w="3320" w:type="dxa"/>
            <w:gridSpan w:val="2"/>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976" w:type="dxa"/>
            <w:vMerge w:val="restart"/>
            <w:tcBorders>
              <w:top w:val="single" w:color="auto" w:sz="4" w:space="0"/>
            </w:tcBorders>
            <w:vAlign w:val="center"/>
          </w:tcPr>
          <w:p>
            <w:pPr>
              <w:rPr>
                <w:rFonts w:hint="eastAsia"/>
                <w:kern w:val="0"/>
                <w:sz w:val="24"/>
                <w:szCs w:val="24"/>
              </w:rPr>
            </w:pPr>
          </w:p>
        </w:tc>
        <w:tc>
          <w:tcPr>
            <w:tcW w:w="1096" w:type="dxa"/>
            <w:vMerge w:val="restart"/>
            <w:vAlign w:val="center"/>
          </w:tcPr>
          <w:p>
            <w:pPr>
              <w:widowControl/>
              <w:jc w:val="left"/>
              <w:textAlignment w:val="top"/>
              <w:rPr>
                <w:rFonts w:hint="eastAsia"/>
                <w:kern w:val="0"/>
                <w:sz w:val="24"/>
                <w:szCs w:val="24"/>
              </w:rPr>
            </w:pPr>
            <w:r>
              <w:rPr>
                <w:rFonts w:hint="eastAsia" w:ascii="宋体" w:cs="宋体"/>
                <w:color w:val="000000"/>
                <w:kern w:val="0"/>
                <w:sz w:val="24"/>
                <w:lang w:bidi="ar"/>
              </w:rPr>
              <w:t>十、外贸综合服务业务</w:t>
            </w:r>
          </w:p>
        </w:tc>
        <w:tc>
          <w:tcPr>
            <w:tcW w:w="2836" w:type="dxa"/>
            <w:vAlign w:val="center"/>
          </w:tcPr>
          <w:p>
            <w:pPr>
              <w:widowControl/>
              <w:jc w:val="left"/>
              <w:textAlignment w:val="top"/>
              <w:rPr>
                <w:rFonts w:hint="eastAsia"/>
                <w:color w:val="000000"/>
                <w:sz w:val="21"/>
                <w:szCs w:val="22"/>
              </w:rPr>
            </w:pPr>
            <w:r>
              <w:rPr>
                <w:rFonts w:hint="eastAsia" w:ascii="宋体" w:cs="宋体"/>
                <w:color w:val="000000"/>
                <w:szCs w:val="21"/>
              </w:rPr>
              <w:t>30.建立并执行对</w:t>
            </w:r>
            <w:r>
              <w:rPr>
                <w:rStyle w:val="25"/>
                <w:rFonts w:hint="eastAsia"/>
              </w:rPr>
              <w:t>外贸综合服务平台客户订单相关信息、资料的真实性、完整性和有效性进行合理审查的制度，通过外贸综合服务平台对报关单信息进行申报要素的逻辑检验以及税收要素、贸易真实性的监控。</w:t>
            </w:r>
          </w:p>
        </w:tc>
        <w:tc>
          <w:tcPr>
            <w:tcW w:w="3705" w:type="dxa"/>
            <w:vAlign w:val="center"/>
          </w:tcPr>
          <w:p>
            <w:pPr>
              <w:rPr>
                <w:color w:val="FF0000"/>
                <w:kern w:val="0"/>
                <w:szCs w:val="21"/>
              </w:rPr>
            </w:pPr>
          </w:p>
        </w:tc>
        <w:tc>
          <w:tcPr>
            <w:tcW w:w="3909" w:type="dxa"/>
            <w:vAlign w:val="center"/>
          </w:tcPr>
          <w:p>
            <w:pPr>
              <w:jc w:val="left"/>
              <w:rPr>
                <w:color w:val="000000"/>
                <w:kern w:val="0"/>
                <w:szCs w:val="21"/>
              </w:rPr>
            </w:pPr>
          </w:p>
        </w:tc>
        <w:tc>
          <w:tcPr>
            <w:tcW w:w="3320" w:type="dxa"/>
            <w:gridSpan w:val="2"/>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976" w:type="dxa"/>
            <w:vMerge w:val="continue"/>
            <w:vAlign w:val="center"/>
          </w:tcPr>
          <w:p>
            <w:pPr>
              <w:rPr>
                <w:rFonts w:hint="eastAsia"/>
                <w:kern w:val="0"/>
                <w:sz w:val="24"/>
                <w:szCs w:val="24"/>
              </w:rPr>
            </w:pPr>
          </w:p>
        </w:tc>
        <w:tc>
          <w:tcPr>
            <w:tcW w:w="1096" w:type="dxa"/>
            <w:vMerge w:val="continue"/>
            <w:vAlign w:val="center"/>
          </w:tcPr>
          <w:p>
            <w:pPr>
              <w:rPr>
                <w:rFonts w:hint="eastAsia"/>
                <w:kern w:val="0"/>
                <w:sz w:val="24"/>
                <w:szCs w:val="24"/>
              </w:rPr>
            </w:pPr>
          </w:p>
        </w:tc>
        <w:tc>
          <w:tcPr>
            <w:tcW w:w="2836" w:type="dxa"/>
            <w:vAlign w:val="center"/>
          </w:tcPr>
          <w:p>
            <w:pPr>
              <w:widowControl/>
              <w:jc w:val="left"/>
              <w:textAlignment w:val="top"/>
              <w:rPr>
                <w:rFonts w:hint="eastAsia"/>
                <w:color w:val="000000"/>
                <w:sz w:val="21"/>
                <w:szCs w:val="22"/>
              </w:rPr>
            </w:pPr>
            <w:r>
              <w:rPr>
                <w:rStyle w:val="26"/>
                <w:rFonts w:hint="eastAsia" w:ascii="宋体" w:cs="宋体"/>
                <w:lang w:bidi="ar"/>
              </w:rPr>
              <w:t>31.建立并执行对外贸综合服务平台客户的实地审核、培训及分级管理制度。</w:t>
            </w:r>
          </w:p>
        </w:tc>
        <w:tc>
          <w:tcPr>
            <w:tcW w:w="3705" w:type="dxa"/>
            <w:vAlign w:val="center"/>
          </w:tcPr>
          <w:p>
            <w:pPr>
              <w:rPr>
                <w:color w:val="FF0000"/>
                <w:kern w:val="0"/>
                <w:szCs w:val="21"/>
              </w:rPr>
            </w:pPr>
          </w:p>
        </w:tc>
        <w:tc>
          <w:tcPr>
            <w:tcW w:w="3909" w:type="dxa"/>
            <w:vAlign w:val="center"/>
          </w:tcPr>
          <w:p>
            <w:pPr>
              <w:jc w:val="left"/>
              <w:rPr>
                <w:color w:val="000000"/>
                <w:kern w:val="0"/>
                <w:szCs w:val="21"/>
              </w:rPr>
            </w:pPr>
          </w:p>
        </w:tc>
        <w:tc>
          <w:tcPr>
            <w:tcW w:w="3320" w:type="dxa"/>
            <w:gridSpan w:val="2"/>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976" w:type="dxa"/>
            <w:vMerge w:val="continue"/>
            <w:vAlign w:val="center"/>
          </w:tcPr>
          <w:p>
            <w:pPr>
              <w:rPr>
                <w:color w:val="000000"/>
              </w:rPr>
            </w:pPr>
          </w:p>
        </w:tc>
        <w:tc>
          <w:tcPr>
            <w:tcW w:w="1096" w:type="dxa"/>
            <w:vMerge w:val="continue"/>
            <w:vAlign w:val="center"/>
          </w:tcPr>
          <w:p>
            <w:pPr>
              <w:rPr>
                <w:kern w:val="0"/>
                <w:szCs w:val="21"/>
              </w:rPr>
            </w:pPr>
          </w:p>
        </w:tc>
        <w:tc>
          <w:tcPr>
            <w:tcW w:w="2836" w:type="dxa"/>
            <w:vAlign w:val="center"/>
          </w:tcPr>
          <w:p>
            <w:pPr>
              <w:widowControl/>
              <w:jc w:val="left"/>
              <w:textAlignment w:val="top"/>
              <w:rPr>
                <w:color w:val="000000"/>
                <w:sz w:val="21"/>
                <w:szCs w:val="22"/>
              </w:rPr>
            </w:pPr>
            <w:r>
              <w:rPr>
                <w:rStyle w:val="26"/>
                <w:rFonts w:hint="eastAsia" w:ascii="宋体" w:cs="宋体"/>
                <w:lang w:bidi="ar"/>
              </w:rPr>
              <w:t>32.建立并执行对外贸综合服务平台客户进出口货物的风险评估制度，能够有效识别高风险货物并采取监装、检查等合理的处置措施。</w:t>
            </w:r>
          </w:p>
        </w:tc>
        <w:tc>
          <w:tcPr>
            <w:tcW w:w="3705" w:type="dxa"/>
            <w:vAlign w:val="center"/>
          </w:tcPr>
          <w:p>
            <w:pPr>
              <w:rPr>
                <w:color w:val="FF0000"/>
                <w:kern w:val="0"/>
                <w:szCs w:val="21"/>
              </w:rPr>
            </w:pPr>
          </w:p>
        </w:tc>
        <w:tc>
          <w:tcPr>
            <w:tcW w:w="3909" w:type="dxa"/>
            <w:vAlign w:val="center"/>
          </w:tcPr>
          <w:p>
            <w:pPr>
              <w:jc w:val="left"/>
              <w:rPr>
                <w:color w:val="000000"/>
                <w:kern w:val="0"/>
                <w:szCs w:val="21"/>
              </w:rPr>
            </w:pPr>
          </w:p>
        </w:tc>
        <w:tc>
          <w:tcPr>
            <w:tcW w:w="3320" w:type="dxa"/>
            <w:gridSpan w:val="2"/>
            <w:vAlign w:val="center"/>
          </w:tcPr>
          <w:p/>
        </w:tc>
      </w:tr>
    </w:tbl>
    <w:p>
      <w:pPr>
        <w:jc w:val="center"/>
        <w:rPr>
          <w:rFonts w:ascii="Times New Roman" w:hAnsi="Times New Roman"/>
          <w:sz w:val="28"/>
          <w:szCs w:val="28"/>
        </w:rPr>
      </w:pPr>
    </w:p>
    <w:p>
      <w:pPr>
        <w:widowControl/>
        <w:jc w:val="left"/>
        <w:rPr>
          <w:rFonts w:ascii="Times New Roman" w:hAnsi="Times New Roman"/>
          <w:sz w:val="28"/>
          <w:szCs w:val="28"/>
        </w:rPr>
      </w:pPr>
      <w:r>
        <w:rPr>
          <w:rFonts w:ascii="Times New Roman" w:hAnsi="Times New Roman"/>
          <w:sz w:val="28"/>
          <w:szCs w:val="28"/>
        </w:rPr>
        <w:br w:type="page"/>
      </w:r>
    </w:p>
    <w:p>
      <w:pPr>
        <w:jc w:val="center"/>
        <w:rPr>
          <w:rFonts w:ascii="Times New Roman" w:hAnsi="Times New Roman"/>
          <w:sz w:val="28"/>
          <w:szCs w:val="28"/>
        </w:rPr>
      </w:pPr>
      <w:r>
        <w:rPr>
          <w:rFonts w:ascii="Times New Roman" w:hAnsi="Times New Roman"/>
          <w:sz w:val="28"/>
          <w:szCs w:val="28"/>
        </w:rPr>
        <w:drawing>
          <wp:inline distT="0" distB="0" distL="0" distR="0">
            <wp:extent cx="4152900" cy="2377440"/>
            <wp:effectExtent l="0" t="0" r="0" b="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53256" cy="2377674"/>
                    </a:xfrm>
                    <a:prstGeom prst="rect">
                      <a:avLst/>
                    </a:prstGeom>
                  </pic:spPr>
                </pic:pic>
              </a:graphicData>
            </a:graphic>
          </wp:inline>
        </w:drawing>
      </w:r>
    </w:p>
    <w:p>
      <w:pPr>
        <w:jc w:val="center"/>
        <w:rPr>
          <w:rFonts w:ascii="Times New Roman" w:hAnsi="Times New Roman"/>
          <w:sz w:val="36"/>
          <w:szCs w:val="36"/>
        </w:rPr>
      </w:pPr>
      <w:r>
        <w:rPr>
          <w:rFonts w:hint="eastAsia" w:ascii="Times New Roman" w:hAnsi="Times New Roman"/>
          <w:sz w:val="36"/>
          <w:szCs w:val="36"/>
        </w:rPr>
        <w:t>宁波金钥匙供应链服务有限公司简介</w:t>
      </w:r>
    </w:p>
    <w:p>
      <w:pPr>
        <w:ind w:firstLine="560" w:firstLineChars="200"/>
        <w:rPr>
          <w:rFonts w:ascii="Times New Roman" w:hAnsi="Times New Roman"/>
          <w:sz w:val="28"/>
          <w:szCs w:val="28"/>
        </w:rPr>
      </w:pPr>
    </w:p>
    <w:p>
      <w:pPr>
        <w:jc w:val="left"/>
        <w:rPr>
          <w:rFonts w:ascii="Times New Roman" w:hAnsi="Times New Roman"/>
          <w:sz w:val="28"/>
          <w:szCs w:val="28"/>
          <w:u w:val="single"/>
        </w:rPr>
      </w:pPr>
      <w:r>
        <w:rPr>
          <w:rFonts w:hint="eastAsia" w:ascii="Times New Roman" w:hAnsi="Times New Roman"/>
          <w:sz w:val="28"/>
          <w:szCs w:val="28"/>
          <w:u w:val="single"/>
        </w:rPr>
        <w:t>业务领域：</w:t>
      </w:r>
    </w:p>
    <w:p>
      <w:pPr>
        <w:ind w:firstLine="562" w:firstLineChars="200"/>
        <w:rPr>
          <w:rFonts w:ascii="Times New Roman" w:hAnsi="Times New Roman"/>
          <w:sz w:val="28"/>
          <w:szCs w:val="28"/>
        </w:rPr>
      </w:pPr>
      <w:r>
        <w:rPr>
          <w:rFonts w:hint="eastAsia" w:ascii="Times New Roman" w:hAnsi="Times New Roman"/>
          <w:b/>
          <w:bCs/>
          <w:sz w:val="28"/>
          <w:szCs w:val="28"/>
        </w:rPr>
        <w:t>跨境电商综合服务</w:t>
      </w:r>
    </w:p>
    <w:p>
      <w:pPr>
        <w:ind w:firstLine="560" w:firstLineChars="200"/>
        <w:rPr>
          <w:rFonts w:ascii="Times New Roman" w:hAnsi="Times New Roman"/>
          <w:sz w:val="28"/>
          <w:szCs w:val="28"/>
        </w:rPr>
      </w:pPr>
      <w:r>
        <w:rPr>
          <w:rFonts w:hint="eastAsia" w:ascii="Times New Roman" w:hAnsi="Times New Roman"/>
          <w:sz w:val="28"/>
          <w:szCs w:val="28"/>
        </w:rPr>
        <w:t>金钥匙开发了跨境电商出口智能申报系统，可以进行</w:t>
      </w:r>
      <w:r>
        <w:rPr>
          <w:rFonts w:ascii="Times New Roman" w:hAnsi="Times New Roman"/>
          <w:sz w:val="28"/>
          <w:szCs w:val="28"/>
        </w:rPr>
        <w:t>9610/9710/9810</w:t>
      </w:r>
      <w:r>
        <w:rPr>
          <w:rFonts w:hint="eastAsia" w:ascii="Times New Roman" w:hAnsi="Times New Roman"/>
          <w:sz w:val="28"/>
          <w:szCs w:val="28"/>
        </w:rPr>
        <w:t>等多种贸易方式的申报，为广大跨境电商企业提供高效的代理申报服务。</w:t>
      </w:r>
    </w:p>
    <w:p>
      <w:pPr>
        <w:ind w:firstLine="560" w:firstLineChars="200"/>
        <w:rPr>
          <w:rFonts w:ascii="Times New Roman" w:hAnsi="Times New Roman"/>
          <w:sz w:val="28"/>
          <w:szCs w:val="28"/>
        </w:rPr>
      </w:pPr>
      <w:r>
        <w:rPr>
          <w:rFonts w:hint="eastAsia" w:ascii="Times New Roman" w:hAnsi="Times New Roman"/>
          <w:sz w:val="28"/>
          <w:szCs w:val="28"/>
        </w:rPr>
        <w:t>金钥匙还与多家航运公司、航空公司及大型货代合作，为广大跨境电商企业提供全球海运和空运的订舱、物流运输和派件服务。</w:t>
      </w:r>
    </w:p>
    <w:p>
      <w:pPr>
        <w:ind w:firstLine="560" w:firstLineChars="200"/>
        <w:rPr>
          <w:rFonts w:ascii="Times New Roman" w:hAnsi="Times New Roman"/>
          <w:sz w:val="28"/>
          <w:szCs w:val="28"/>
        </w:rPr>
      </w:pPr>
    </w:p>
    <w:p>
      <w:pPr>
        <w:ind w:firstLine="562" w:firstLineChars="200"/>
        <w:rPr>
          <w:rFonts w:ascii="Times New Roman" w:hAnsi="Times New Roman"/>
          <w:sz w:val="28"/>
          <w:szCs w:val="28"/>
        </w:rPr>
      </w:pPr>
      <w:r>
        <w:rPr>
          <w:rFonts w:ascii="Times New Roman" w:hAnsi="Times New Roman"/>
          <w:b/>
          <w:bCs/>
          <w:sz w:val="28"/>
          <w:szCs w:val="28"/>
        </w:rPr>
        <w:t>AEO</w:t>
      </w:r>
      <w:r>
        <w:rPr>
          <w:rFonts w:hint="eastAsia" w:ascii="Times New Roman" w:hAnsi="Times New Roman"/>
          <w:b/>
          <w:bCs/>
          <w:sz w:val="28"/>
          <w:szCs w:val="28"/>
        </w:rPr>
        <w:t>认证辅导</w:t>
      </w:r>
    </w:p>
    <w:p>
      <w:pPr>
        <w:ind w:firstLine="560" w:firstLineChars="200"/>
        <w:rPr>
          <w:rFonts w:ascii="Times New Roman" w:hAnsi="Times New Roman"/>
          <w:sz w:val="28"/>
          <w:szCs w:val="28"/>
        </w:rPr>
      </w:pPr>
      <w:r>
        <w:rPr>
          <w:rFonts w:hint="eastAsia" w:ascii="Times New Roman" w:hAnsi="Times New Roman"/>
          <w:sz w:val="28"/>
          <w:szCs w:val="28"/>
        </w:rPr>
        <w:t>为企业量身定制专属的AEO认证辅导方案，帮助企业精准把握认证标准、规范业务流程，至今已帮助二十余家企业顺利通过海关认证。</w:t>
      </w:r>
    </w:p>
    <w:p>
      <w:pPr>
        <w:ind w:firstLine="560" w:firstLineChars="200"/>
        <w:rPr>
          <w:rFonts w:ascii="Times New Roman" w:hAnsi="Times New Roman"/>
          <w:sz w:val="28"/>
          <w:szCs w:val="28"/>
        </w:rPr>
      </w:pPr>
    </w:p>
    <w:p>
      <w:pPr>
        <w:ind w:firstLine="562" w:firstLineChars="200"/>
        <w:rPr>
          <w:rFonts w:ascii="Times New Roman" w:hAnsi="Times New Roman"/>
          <w:sz w:val="28"/>
          <w:szCs w:val="28"/>
        </w:rPr>
      </w:pPr>
      <w:r>
        <w:rPr>
          <w:rFonts w:hint="eastAsia" w:ascii="Times New Roman" w:hAnsi="Times New Roman"/>
          <w:b/>
          <w:bCs/>
          <w:sz w:val="28"/>
          <w:szCs w:val="28"/>
        </w:rPr>
        <w:t>海关事务合规</w:t>
      </w:r>
    </w:p>
    <w:p>
      <w:pPr>
        <w:ind w:firstLine="560" w:firstLineChars="200"/>
        <w:rPr>
          <w:rFonts w:ascii="Times New Roman" w:hAnsi="Times New Roman"/>
          <w:sz w:val="28"/>
          <w:szCs w:val="28"/>
        </w:rPr>
      </w:pPr>
      <w:r>
        <w:rPr>
          <w:rFonts w:hint="eastAsia" w:ascii="Times New Roman" w:hAnsi="Times New Roman"/>
          <w:sz w:val="28"/>
          <w:szCs w:val="28"/>
        </w:rPr>
        <w:t>对企业在通关过程中遇到的疑难问题提供咨询意见；按照海关稽查的流程及模式，对进出口企业进行体检，梳理业务流程，及时发现合规风险；针对具体项目，规划关务合规方案；企业面临信用等级下调、纳税争议、海关稽查、行政处罚等危机时，为企业提供专业指导。</w:t>
      </w:r>
    </w:p>
    <w:p>
      <w:pPr>
        <w:ind w:firstLine="560" w:firstLineChars="200"/>
        <w:rPr>
          <w:rFonts w:ascii="Times New Roman" w:hAnsi="Times New Roman"/>
          <w:sz w:val="28"/>
          <w:szCs w:val="28"/>
        </w:rPr>
      </w:pPr>
    </w:p>
    <w:p>
      <w:pPr>
        <w:rPr>
          <w:rFonts w:ascii="Times New Roman" w:hAnsi="Times New Roman"/>
          <w:sz w:val="28"/>
          <w:szCs w:val="28"/>
          <w:u w:val="single"/>
        </w:rPr>
      </w:pPr>
      <w:r>
        <w:rPr>
          <w:rFonts w:hint="eastAsia" w:ascii="Times New Roman" w:hAnsi="Times New Roman"/>
          <w:sz w:val="28"/>
          <w:szCs w:val="28"/>
          <w:u w:val="single"/>
        </w:rPr>
        <w:t>核心团队</w:t>
      </w:r>
    </w:p>
    <w:p>
      <w:pPr>
        <w:rPr>
          <w:rFonts w:ascii="Times New Roman" w:hAnsi="Times New Roman"/>
          <w:sz w:val="28"/>
          <w:szCs w:val="28"/>
          <w:u w:val="single"/>
        </w:rPr>
      </w:pPr>
    </w:p>
    <w:p>
      <w:pPr>
        <w:rPr>
          <w:rFonts w:ascii="Times New Roman" w:hAnsi="Times New Roman"/>
          <w:sz w:val="28"/>
          <w:szCs w:val="28"/>
        </w:rPr>
      </w:pPr>
      <w:r>
        <w:rPr>
          <w:rFonts w:hint="eastAsia" w:ascii="Times New Roman" w:hAnsi="Times New Roman"/>
          <w:b/>
          <w:bCs/>
          <w:sz w:val="28"/>
          <w:szCs w:val="28"/>
        </w:rPr>
        <w:t xml:space="preserve">应奎碧 </w:t>
      </w:r>
      <w:r>
        <w:rPr>
          <w:rFonts w:hint="eastAsia" w:ascii="Times New Roman" w:hAnsi="Times New Roman"/>
          <w:sz w:val="28"/>
          <w:szCs w:val="28"/>
        </w:rPr>
        <w:t>合伙人</w:t>
      </w:r>
    </w:p>
    <w:p>
      <w:pPr>
        <w:rPr>
          <w:rFonts w:ascii="Times New Roman" w:hAnsi="Times New Roman"/>
          <w:sz w:val="28"/>
          <w:szCs w:val="28"/>
        </w:rPr>
      </w:pPr>
      <w:r>
        <w:rPr>
          <w:rFonts w:hint="eastAsia" w:ascii="Times New Roman" w:hAnsi="Times New Roman"/>
          <w:sz w:val="28"/>
          <w:szCs w:val="28"/>
        </w:rPr>
        <w:t>执业律师，</w:t>
      </w:r>
      <w:r>
        <w:rPr>
          <w:rFonts w:ascii="Times New Roman" w:hAnsi="Times New Roman"/>
          <w:sz w:val="28"/>
          <w:szCs w:val="28"/>
        </w:rPr>
        <w:t>18</w:t>
      </w:r>
      <w:r>
        <w:rPr>
          <w:rFonts w:hint="eastAsia" w:ascii="Times New Roman" w:hAnsi="Times New Roman"/>
          <w:sz w:val="28"/>
          <w:szCs w:val="28"/>
        </w:rPr>
        <w:t>年海关工作经验，曾任海关三级专家、公职律师。精通海关</w:t>
      </w:r>
      <w:r>
        <w:rPr>
          <w:rFonts w:ascii="Times New Roman" w:hAnsi="Times New Roman"/>
          <w:sz w:val="28"/>
          <w:szCs w:val="28"/>
        </w:rPr>
        <w:t>AEO</w:t>
      </w:r>
      <w:r>
        <w:rPr>
          <w:rFonts w:hint="eastAsia" w:ascii="Times New Roman" w:hAnsi="Times New Roman"/>
          <w:sz w:val="28"/>
          <w:szCs w:val="28"/>
        </w:rPr>
        <w:t>认证、跨境电商业务。</w:t>
      </w:r>
    </w:p>
    <w:p>
      <w:pPr>
        <w:rPr>
          <w:rFonts w:ascii="Times New Roman" w:hAnsi="Times New Roman"/>
          <w:sz w:val="28"/>
          <w:szCs w:val="28"/>
        </w:rPr>
      </w:pPr>
      <w:r>
        <w:rPr>
          <w:rFonts w:hint="eastAsia" w:ascii="Times New Roman" w:hAnsi="Times New Roman"/>
          <w:b/>
          <w:bCs/>
          <w:sz w:val="28"/>
          <w:szCs w:val="28"/>
        </w:rPr>
        <w:t xml:space="preserve">张建华 </w:t>
      </w:r>
      <w:r>
        <w:rPr>
          <w:rFonts w:hint="eastAsia" w:ascii="Times New Roman" w:hAnsi="Times New Roman"/>
          <w:sz w:val="28"/>
          <w:szCs w:val="28"/>
        </w:rPr>
        <w:t>合伙人</w:t>
      </w:r>
    </w:p>
    <w:p>
      <w:pPr>
        <w:rPr>
          <w:rFonts w:ascii="Times New Roman" w:hAnsi="Times New Roman"/>
          <w:sz w:val="28"/>
          <w:szCs w:val="28"/>
        </w:rPr>
      </w:pPr>
      <w:r>
        <w:rPr>
          <w:rFonts w:hint="eastAsia" w:ascii="Times New Roman" w:hAnsi="Times New Roman"/>
          <w:sz w:val="28"/>
          <w:szCs w:val="28"/>
        </w:rPr>
        <w:t>执业律师，</w:t>
      </w:r>
      <w:r>
        <w:rPr>
          <w:rFonts w:ascii="Times New Roman" w:hAnsi="Times New Roman"/>
          <w:sz w:val="28"/>
          <w:szCs w:val="28"/>
        </w:rPr>
        <w:t>10</w:t>
      </w:r>
      <w:r>
        <w:rPr>
          <w:rFonts w:hint="eastAsia" w:ascii="Times New Roman" w:hAnsi="Times New Roman"/>
          <w:sz w:val="28"/>
          <w:szCs w:val="28"/>
        </w:rPr>
        <w:t>年海关工作经验，曾任海关公职律师。精通企业稽查、加工贸易、特许权使用费海关审价、海关</w:t>
      </w:r>
      <w:r>
        <w:rPr>
          <w:rFonts w:ascii="Times New Roman" w:hAnsi="Times New Roman"/>
          <w:sz w:val="28"/>
          <w:szCs w:val="28"/>
        </w:rPr>
        <w:t>AEO</w:t>
      </w:r>
      <w:r>
        <w:rPr>
          <w:rFonts w:hint="eastAsia" w:ascii="Times New Roman" w:hAnsi="Times New Roman"/>
          <w:sz w:val="28"/>
          <w:szCs w:val="28"/>
        </w:rPr>
        <w:t>认证、跨境电商业务。</w:t>
      </w:r>
    </w:p>
    <w:p>
      <w:pPr>
        <w:rPr>
          <w:rFonts w:ascii="Times New Roman" w:hAnsi="Times New Roman"/>
          <w:sz w:val="28"/>
          <w:szCs w:val="28"/>
        </w:rPr>
      </w:pPr>
      <w:r>
        <w:rPr>
          <w:rFonts w:hint="eastAsia" w:ascii="Times New Roman" w:hAnsi="Times New Roman"/>
          <w:b/>
          <w:bCs/>
          <w:sz w:val="28"/>
          <w:szCs w:val="28"/>
        </w:rPr>
        <w:t xml:space="preserve">罗日招 </w:t>
      </w:r>
      <w:r>
        <w:rPr>
          <w:rFonts w:hint="eastAsia" w:ascii="Times New Roman" w:hAnsi="Times New Roman"/>
          <w:sz w:val="28"/>
          <w:szCs w:val="28"/>
        </w:rPr>
        <w:t>AEO认证业务主管</w:t>
      </w:r>
    </w:p>
    <w:p>
      <w:pPr>
        <w:rPr>
          <w:rFonts w:ascii="Times New Roman" w:hAnsi="Times New Roman"/>
          <w:sz w:val="28"/>
          <w:szCs w:val="28"/>
        </w:rPr>
      </w:pPr>
      <w:r>
        <w:rPr>
          <w:rFonts w:ascii="Times New Roman" w:hAnsi="Times New Roman"/>
          <w:sz w:val="28"/>
          <w:szCs w:val="28"/>
        </w:rPr>
        <w:t>10</w:t>
      </w:r>
      <w:r>
        <w:rPr>
          <w:rFonts w:hint="eastAsia" w:ascii="Times New Roman" w:hAnsi="Times New Roman"/>
          <w:sz w:val="28"/>
          <w:szCs w:val="28"/>
        </w:rPr>
        <w:t>余年关务工作经验，先后任职于外贸公司及大型国企，精通原产地证申请、进口预包装食品化妆品中文标签预审、海关</w:t>
      </w:r>
      <w:r>
        <w:rPr>
          <w:rFonts w:ascii="Times New Roman" w:hAnsi="Times New Roman"/>
          <w:sz w:val="28"/>
          <w:szCs w:val="28"/>
        </w:rPr>
        <w:t>AEO</w:t>
      </w:r>
      <w:r>
        <w:rPr>
          <w:rFonts w:hint="eastAsia" w:ascii="Times New Roman" w:hAnsi="Times New Roman"/>
          <w:sz w:val="28"/>
          <w:szCs w:val="28"/>
        </w:rPr>
        <w:t>认证、进口清关实务</w:t>
      </w:r>
      <w:r>
        <w:rPr>
          <w:rFonts w:hint="eastAsia" w:ascii="Times New Roman" w:hAnsi="Times New Roman" w:eastAsia="MS Gothic" w:cs="MS Gothic"/>
          <w:sz w:val="28"/>
          <w:szCs w:val="28"/>
        </w:rPr>
        <w:t>​</w:t>
      </w:r>
      <w:r>
        <w:rPr>
          <w:rFonts w:hint="eastAsia" w:ascii="Times New Roman" w:hAnsi="Times New Roman"/>
          <w:sz w:val="28"/>
          <w:szCs w:val="28"/>
        </w:rPr>
        <w:t>。</w:t>
      </w:r>
    </w:p>
    <w:p>
      <w:pPr>
        <w:rPr>
          <w:rFonts w:hint="eastAsia" w:ascii="Times New Roman" w:hAnsi="Times New Roman" w:cs="Times New Roman"/>
          <w:kern w:val="0"/>
          <w:sz w:val="28"/>
          <w:szCs w:val="28"/>
          <w:lang w:val="en-US" w:eastAsia="zh-CN"/>
        </w:rPr>
      </w:pPr>
      <w:r>
        <w:rPr>
          <w:rFonts w:hint="eastAsia" w:ascii="Times New Roman" w:hAnsi="Times New Roman" w:eastAsia="宋体" w:cs="Times New Roman"/>
          <w:b/>
          <w:bCs/>
          <w:kern w:val="0"/>
          <w:sz w:val="28"/>
          <w:szCs w:val="28"/>
        </w:rPr>
        <w:t>张美娟</w:t>
      </w:r>
      <w:r>
        <w:rPr>
          <w:rFonts w:hint="eastAsia" w:ascii="Times New Roman" w:hAnsi="Times New Roman" w:cs="Times New Roman"/>
          <w:kern w:val="0"/>
          <w:sz w:val="28"/>
          <w:szCs w:val="28"/>
          <w:lang w:val="en-US" w:eastAsia="zh-CN"/>
        </w:rPr>
        <w:t xml:space="preserve"> 报关业务主管</w:t>
      </w:r>
    </w:p>
    <w:p>
      <w:pPr>
        <w:rPr>
          <w:rFonts w:hint="eastAsia" w:ascii="Times New Roman" w:hAnsi="Times New Roman" w:eastAsia="宋体"/>
          <w:sz w:val="28"/>
          <w:szCs w:val="28"/>
          <w:lang w:eastAsia="zh-CN"/>
        </w:rPr>
      </w:pPr>
      <w:r>
        <w:rPr>
          <w:rFonts w:hint="eastAsia" w:ascii="Times New Roman" w:hAnsi="Times New Roman" w:eastAsia="宋体" w:cs="Times New Roman"/>
          <w:kern w:val="0"/>
          <w:sz w:val="28"/>
          <w:szCs w:val="28"/>
        </w:rPr>
        <w:t>1</w:t>
      </w:r>
      <w:r>
        <w:rPr>
          <w:rFonts w:ascii="Times New Roman" w:hAnsi="Times New Roman" w:eastAsia="宋体" w:cs="Times New Roman"/>
          <w:kern w:val="0"/>
          <w:sz w:val="28"/>
          <w:szCs w:val="28"/>
        </w:rPr>
        <w:t>0</w:t>
      </w:r>
      <w:r>
        <w:rPr>
          <w:rFonts w:hint="eastAsia" w:ascii="Times New Roman" w:hAnsi="Times New Roman" w:eastAsia="宋体" w:cs="Times New Roman"/>
          <w:kern w:val="0"/>
          <w:sz w:val="28"/>
          <w:szCs w:val="28"/>
        </w:rPr>
        <w:t>余年报关工作经验，曾任职于某大型国企，负责报关工作，精通报关业务和进出口清关实务</w:t>
      </w:r>
      <w:r>
        <w:rPr>
          <w:rFonts w:hint="eastAsia" w:ascii="Times New Roman" w:hAnsi="Times New Roman" w:cs="Times New Roman"/>
          <w:kern w:val="0"/>
          <w:sz w:val="28"/>
          <w:szCs w:val="28"/>
          <w:lang w:eastAsia="zh-CN"/>
        </w:rPr>
        <w:t>。</w:t>
      </w:r>
      <w:bookmarkStart w:id="0" w:name="_GoBack"/>
      <w:bookmarkEnd w:id="0"/>
    </w:p>
    <w:p>
      <w:pPr>
        <w:rPr>
          <w:rFonts w:ascii="Times New Roman" w:hAnsi="Times New Roman"/>
          <w:sz w:val="28"/>
          <w:szCs w:val="28"/>
          <w:u w:val="single"/>
        </w:rPr>
      </w:pPr>
      <w:r>
        <w:rPr>
          <w:rFonts w:hint="eastAsia" w:ascii="Times New Roman" w:hAnsi="Times New Roman"/>
          <w:sz w:val="28"/>
          <w:szCs w:val="28"/>
          <w:u w:val="single"/>
        </w:rPr>
        <w:t>联系我们</w:t>
      </w:r>
    </w:p>
    <w:p>
      <w:pPr>
        <w:rPr>
          <w:rFonts w:ascii="Times New Roman" w:hAnsi="Times New Roman"/>
          <w:b/>
          <w:bCs/>
          <w:sz w:val="28"/>
          <w:szCs w:val="28"/>
        </w:rPr>
      </w:pPr>
      <w:r>
        <w:rPr>
          <w:rFonts w:hint="eastAsia" w:ascii="Times New Roman" w:hAnsi="Times New Roman"/>
          <w:b/>
          <w:bCs/>
          <w:sz w:val="28"/>
          <w:szCs w:val="28"/>
        </w:rPr>
        <w:t>郑经理：</w:t>
      </w:r>
      <w:r>
        <w:rPr>
          <w:rFonts w:ascii="Times New Roman" w:hAnsi="Times New Roman"/>
          <w:b/>
          <w:bCs/>
          <w:sz w:val="28"/>
          <w:szCs w:val="28"/>
        </w:rPr>
        <w:t>18989357377</w:t>
      </w:r>
    </w:p>
    <w:p>
      <w:pPr>
        <w:rPr>
          <w:rFonts w:ascii="Times New Roman" w:hAnsi="Times New Roman"/>
          <w:sz w:val="28"/>
          <w:szCs w:val="28"/>
        </w:rPr>
      </w:pPr>
      <w:r>
        <w:rPr>
          <w:rFonts w:hint="eastAsia" w:ascii="Times New Roman" w:hAnsi="Times New Roman"/>
          <w:sz w:val="28"/>
          <w:szCs w:val="28"/>
        </w:rPr>
        <w:t>网址：w</w:t>
      </w:r>
      <w:r>
        <w:rPr>
          <w:rFonts w:ascii="Times New Roman" w:hAnsi="Times New Roman"/>
          <w:sz w:val="28"/>
          <w:szCs w:val="28"/>
        </w:rPr>
        <w:t>ww.jys9610.com</w:t>
      </w:r>
    </w:p>
    <w:p>
      <w:pPr>
        <w:rPr>
          <w:rFonts w:ascii="Times New Roman" w:hAnsi="Times New Roman"/>
          <w:sz w:val="28"/>
          <w:szCs w:val="28"/>
        </w:rPr>
      </w:pPr>
    </w:p>
    <w:p>
      <w:pPr>
        <w:rPr>
          <w:rFonts w:ascii="Times New Roman" w:hAnsi="Times New Roman"/>
          <w:sz w:val="28"/>
          <w:szCs w:val="28"/>
        </w:rPr>
      </w:pPr>
      <w:r>
        <w:rPr>
          <w:rFonts w:hint="eastAsia" w:ascii="Times New Roman" w:hAnsi="Times New Roman"/>
          <w:sz w:val="28"/>
          <w:szCs w:val="28"/>
        </w:rPr>
        <w:t>宁波金钥匙供应链服务有限公司</w:t>
      </w:r>
    </w:p>
    <w:p>
      <w:pPr>
        <w:rPr>
          <w:rFonts w:ascii="Times New Roman" w:hAnsi="Times New Roman"/>
          <w:sz w:val="28"/>
          <w:szCs w:val="28"/>
        </w:rPr>
      </w:pPr>
      <w:r>
        <w:rPr>
          <w:rFonts w:hint="eastAsia" w:ascii="Times New Roman" w:hAnsi="Times New Roman"/>
          <w:sz w:val="28"/>
          <w:szCs w:val="28"/>
        </w:rPr>
        <w:t>地址：宁波市鄞州区鼎泰路</w:t>
      </w:r>
      <w:r>
        <w:rPr>
          <w:rFonts w:ascii="Times New Roman" w:hAnsi="Times New Roman"/>
          <w:sz w:val="28"/>
          <w:szCs w:val="28"/>
        </w:rPr>
        <w:t>399号宁波保税区国际贸易中心607室</w:t>
      </w:r>
    </w:p>
    <w:sectPr>
      <w:headerReference r:id="rId5" w:type="first"/>
      <w:headerReference r:id="rId3" w:type="default"/>
      <w:headerReference r:id="rId4" w:type="even"/>
      <w:pgSz w:w="16838" w:h="11906" w:orient="landscape"/>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小标宋_GBK">
    <w:altName w:val="微软雅黑"/>
    <w:panose1 w:val="00000000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华文中宋">
    <w:panose1 w:val="02010600040101010101"/>
    <w:charset w:val="86"/>
    <w:family w:val="auto"/>
    <w:pitch w:val="default"/>
    <w:sig w:usb0="00000287" w:usb1="080F0000" w:usb2="00000000" w:usb3="00000000" w:csb0="0004009F" w:csb1="DFD70000"/>
  </w:font>
  <w:font w:name="方正仿宋_GBK">
    <w:altName w:val="微软雅黑"/>
    <w:panose1 w:val="00000000000000000000"/>
    <w:charset w:val="86"/>
    <w:family w:val="script"/>
    <w:pitch w:val="default"/>
    <w:sig w:usb0="00000000" w:usb1="00000000" w:usb2="00000010" w:usb3="00000000" w:csb0="00040000" w:csb1="00000000"/>
  </w:font>
  <w:font w:name="方正黑体_GBK">
    <w:altName w:val="微软雅黑"/>
    <w:panose1 w:val="00000000000000000000"/>
    <w:charset w:val="86"/>
    <w:family w:val="script"/>
    <w:pitch w:val="default"/>
    <w:sig w:usb0="00000000" w:usb1="00000000" w:usb2="00000010" w:usb3="00000000" w:csb0="00040000" w:csb1="00000000"/>
  </w:font>
  <w:font w:name="方正楷体_GBK">
    <w:altName w:val="微软雅黑"/>
    <w:panose1 w:val="00000000000000000000"/>
    <w:charset w:val="86"/>
    <w:family w:val="script"/>
    <w:pitch w:val="default"/>
    <w:sig w:usb0="00000000" w:usb1="00000000" w:usb2="00000010" w:usb3="00000000" w:csb0="00040000" w:csb1="00000000"/>
  </w:font>
  <w:font w:name="MS Gothic">
    <w:panose1 w:val="020B0609070205080204"/>
    <w:charset w:val="80"/>
    <w:family w:val="modern"/>
    <w:pitch w:val="default"/>
    <w:sig w:usb0="E00002FF" w:usb1="6AC7FDFB" w:usb2="08000012" w:usb3="00000000" w:csb0="4002009F" w:csb1="DFD70000"/>
  </w:font>
  <w:font w:name="东文宋体">
    <w:altName w:val="宋体"/>
    <w:panose1 w:val="00000000000000000000"/>
    <w:charset w:val="00"/>
    <w:family w:val="auto"/>
    <w:pitch w:val="default"/>
    <w:sig w:usb0="00000000" w:usb1="00000000" w:usb2="00000000"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pict>
        <v:shape id="WordPictureWatermark1583861" o:spid="_x0000_s1027" o:spt="75" type="#_x0000_t75" style="position:absolute;left:0pt;height:480.5pt;width:768.85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1" gain="19661f" blacklevel="22938f" o:title="金钥匙_画板 1"/>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pict>
        <v:shape id="WordPictureWatermark1583860" o:spid="_x0000_s1026" o:spt="75" type="#_x0000_t75" style="position:absolute;left:0pt;height:480.5pt;width:768.85pt;mso-position-horizontal:center;mso-position-horizontal-relative:margin;mso-position-vertical:center;mso-position-vertical-relative:margin;z-index:-251656192;mso-width-relative:page;mso-height-relative:page;" filled="f" o:preferrelative="t" stroked="f" coordsize="21600,21600" o:allowincell="f">
          <v:path/>
          <v:fill on="f" focussize="0,0"/>
          <v:stroke on="f" joinstyle="miter"/>
          <v:imagedata r:id="rId1" gain="19661f" blacklevel="22938f" o:title="金钥匙_画板 1"/>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pict>
        <v:shape id="WordPictureWatermark1583859" o:spid="_x0000_s1025" o:spt="75" type="#_x0000_t75" style="position:absolute;left:0pt;height:480.5pt;width:768.85pt;mso-position-horizontal:center;mso-position-horizontal-relative:margin;mso-position-vertical:center;mso-position-vertical-relative:margin;z-index:-251657216;mso-width-relative:page;mso-height-relative:page;" filled="f" o:preferrelative="t" stroked="f" coordsize="21600,21600" o:allowincell="f">
          <v:path/>
          <v:fill on="f" focussize="0,0"/>
          <v:stroke on="f" joinstyle="miter"/>
          <v:imagedata r:id="rId1" gain="19661f" blacklevel="22938f" o:title="金钥匙_画板 1"/>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BC28381"/>
    <w:multiLevelType w:val="singleLevel"/>
    <w:tmpl w:val="EBC28381"/>
    <w:lvl w:ilvl="0" w:tentative="0">
      <w:start w:val="1"/>
      <w:numFmt w:val="bullet"/>
      <w:lvlText w:val="◎"/>
      <w:lvlJc w:val="left"/>
      <w:pPr>
        <w:tabs>
          <w:tab w:val="left" w:pos="227"/>
        </w:tabs>
        <w:ind w:left="0" w:firstLine="204"/>
      </w:pPr>
      <w:rPr>
        <w:rFonts w:hint="default" w:ascii="东文宋体" w:hAnsi="东文宋体" w:eastAsia="东文宋体" w:cs="东文宋体"/>
        <w:sz w:val="16"/>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ZlZDQ5MTQ5YWNkYTdlNjY4MDJjODFhNWI4ZTUxYTAifQ=="/>
  </w:docVars>
  <w:rsids>
    <w:rsidRoot w:val="00681C96"/>
    <w:rsid w:val="00014752"/>
    <w:rsid w:val="0005554C"/>
    <w:rsid w:val="000D52D7"/>
    <w:rsid w:val="000E1CBD"/>
    <w:rsid w:val="001B4C8B"/>
    <w:rsid w:val="00206BAB"/>
    <w:rsid w:val="0025740B"/>
    <w:rsid w:val="002D49A6"/>
    <w:rsid w:val="002D5939"/>
    <w:rsid w:val="003329EB"/>
    <w:rsid w:val="00344689"/>
    <w:rsid w:val="00481124"/>
    <w:rsid w:val="004D1D05"/>
    <w:rsid w:val="004F1B03"/>
    <w:rsid w:val="00507CD3"/>
    <w:rsid w:val="00596694"/>
    <w:rsid w:val="005A653D"/>
    <w:rsid w:val="0065122E"/>
    <w:rsid w:val="00655349"/>
    <w:rsid w:val="00673B38"/>
    <w:rsid w:val="00681C96"/>
    <w:rsid w:val="00693534"/>
    <w:rsid w:val="00695F9E"/>
    <w:rsid w:val="007255EC"/>
    <w:rsid w:val="007432BF"/>
    <w:rsid w:val="0079734E"/>
    <w:rsid w:val="007A5746"/>
    <w:rsid w:val="00825E67"/>
    <w:rsid w:val="00881DB7"/>
    <w:rsid w:val="0088466E"/>
    <w:rsid w:val="008C0B3D"/>
    <w:rsid w:val="00940372"/>
    <w:rsid w:val="00965D23"/>
    <w:rsid w:val="00997B3E"/>
    <w:rsid w:val="009C22B3"/>
    <w:rsid w:val="00A071B4"/>
    <w:rsid w:val="00A245F0"/>
    <w:rsid w:val="00A728B4"/>
    <w:rsid w:val="00A80443"/>
    <w:rsid w:val="00AD0C7C"/>
    <w:rsid w:val="00B379DB"/>
    <w:rsid w:val="00B544E7"/>
    <w:rsid w:val="00B8478F"/>
    <w:rsid w:val="00BA6676"/>
    <w:rsid w:val="00BF3FF8"/>
    <w:rsid w:val="00BF4D35"/>
    <w:rsid w:val="00C11407"/>
    <w:rsid w:val="00C25712"/>
    <w:rsid w:val="00CE6208"/>
    <w:rsid w:val="00D10D61"/>
    <w:rsid w:val="00D36C3B"/>
    <w:rsid w:val="00D464F5"/>
    <w:rsid w:val="00D70E65"/>
    <w:rsid w:val="00DA65F6"/>
    <w:rsid w:val="00DC1AF4"/>
    <w:rsid w:val="00DC60B8"/>
    <w:rsid w:val="00DD1725"/>
    <w:rsid w:val="00DD32AD"/>
    <w:rsid w:val="00DE3A20"/>
    <w:rsid w:val="00E73A9F"/>
    <w:rsid w:val="00E81A4C"/>
    <w:rsid w:val="00E83F8A"/>
    <w:rsid w:val="00E876BF"/>
    <w:rsid w:val="00F15AA8"/>
    <w:rsid w:val="00F31828"/>
    <w:rsid w:val="00F424C8"/>
    <w:rsid w:val="10A75E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8">
    <w:name w:val="Default Paragraph Font"/>
    <w:semiHidden/>
    <w:unhideWhenUsed/>
    <w:qFormat/>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Balloon Text"/>
    <w:basedOn w:val="1"/>
    <w:link w:val="13"/>
    <w:semiHidden/>
    <w:qFormat/>
    <w:uiPriority w:val="99"/>
    <w:rPr>
      <w:kern w:val="0"/>
      <w:sz w:val="18"/>
      <w:szCs w:val="18"/>
    </w:rPr>
  </w:style>
  <w:style w:type="paragraph" w:styleId="3">
    <w:name w:val="footer"/>
    <w:basedOn w:val="1"/>
    <w:link w:val="12"/>
    <w:unhideWhenUsed/>
    <w:qFormat/>
    <w:uiPriority w:val="0"/>
    <w:pPr>
      <w:tabs>
        <w:tab w:val="center" w:pos="4153"/>
        <w:tab w:val="right" w:pos="8306"/>
      </w:tabs>
      <w:snapToGrid w:val="0"/>
      <w:jc w:val="left"/>
    </w:pPr>
    <w:rPr>
      <w:sz w:val="18"/>
      <w:szCs w:val="18"/>
    </w:rPr>
  </w:style>
  <w:style w:type="paragraph" w:styleId="4">
    <w:name w:val="header"/>
    <w:basedOn w:val="1"/>
    <w:link w:val="11"/>
    <w:unhideWhenUsed/>
    <w:qFormat/>
    <w:uiPriority w:val="0"/>
    <w:pPr>
      <w:pBdr>
        <w:bottom w:val="single" w:color="auto" w:sz="6" w:space="1"/>
      </w:pBdr>
      <w:tabs>
        <w:tab w:val="center" w:pos="4153"/>
        <w:tab w:val="right" w:pos="8306"/>
      </w:tabs>
      <w:snapToGrid w:val="0"/>
      <w:jc w:val="center"/>
    </w:pPr>
    <w:rPr>
      <w:sz w:val="18"/>
      <w:szCs w:val="18"/>
    </w:rPr>
  </w:style>
  <w:style w:type="paragraph" w:styleId="5">
    <w:name w:val="HTML Preformatted"/>
    <w:basedOn w:val="1"/>
    <w:link w:val="14"/>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Times New Roman" w:cs="宋体"/>
      <w:kern w:val="0"/>
      <w:sz w:val="24"/>
      <w:szCs w:val="24"/>
    </w:rPr>
  </w:style>
  <w:style w:type="table" w:styleId="7">
    <w:name w:val="Table Grid"/>
    <w:basedOn w:val="6"/>
    <w:qFormat/>
    <w:uiPriority w:val="59"/>
    <w:rPr>
      <w:rFonts w:ascii="Times New Roman" w:hAnsi="Times New Roman" w:eastAsia="方正小标宋_GBK"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page number"/>
    <w:qFormat/>
    <w:uiPriority w:val="0"/>
  </w:style>
  <w:style w:type="character" w:styleId="10">
    <w:name w:val="Hyperlink"/>
    <w:unhideWhenUsed/>
    <w:qFormat/>
    <w:uiPriority w:val="99"/>
    <w:rPr>
      <w:color w:val="0000FF"/>
      <w:u w:val="single"/>
    </w:rPr>
  </w:style>
  <w:style w:type="character" w:customStyle="1" w:styleId="11">
    <w:name w:val="页眉 字符"/>
    <w:basedOn w:val="8"/>
    <w:link w:val="4"/>
    <w:qFormat/>
    <w:uiPriority w:val="99"/>
    <w:rPr>
      <w:sz w:val="18"/>
      <w:szCs w:val="18"/>
    </w:rPr>
  </w:style>
  <w:style w:type="character" w:customStyle="1" w:styleId="12">
    <w:name w:val="页脚 字符"/>
    <w:basedOn w:val="8"/>
    <w:link w:val="3"/>
    <w:qFormat/>
    <w:uiPriority w:val="99"/>
    <w:rPr>
      <w:sz w:val="18"/>
      <w:szCs w:val="18"/>
    </w:rPr>
  </w:style>
  <w:style w:type="character" w:customStyle="1" w:styleId="13">
    <w:name w:val="批注框文本 字符"/>
    <w:basedOn w:val="8"/>
    <w:link w:val="2"/>
    <w:semiHidden/>
    <w:qFormat/>
    <w:uiPriority w:val="99"/>
    <w:rPr>
      <w:rFonts w:ascii="Calibri" w:hAnsi="Calibri" w:eastAsia="宋体" w:cs="Times New Roman"/>
      <w:kern w:val="0"/>
      <w:sz w:val="18"/>
      <w:szCs w:val="18"/>
    </w:rPr>
  </w:style>
  <w:style w:type="character" w:customStyle="1" w:styleId="14">
    <w:name w:val="HTML 预设格式 字符"/>
    <w:basedOn w:val="8"/>
    <w:link w:val="5"/>
    <w:qFormat/>
    <w:uiPriority w:val="0"/>
    <w:rPr>
      <w:rFonts w:ascii="宋体" w:hAnsi="Times New Roman" w:eastAsia="宋体" w:cs="宋体"/>
      <w:kern w:val="0"/>
      <w:sz w:val="24"/>
      <w:szCs w:val="24"/>
    </w:rPr>
  </w:style>
  <w:style w:type="paragraph" w:customStyle="1" w:styleId="15">
    <w:name w:val="修订1"/>
    <w:hidden/>
    <w:semiHidden/>
    <w:qFormat/>
    <w:uiPriority w:val="99"/>
    <w:rPr>
      <w:rFonts w:ascii="Calibri" w:hAnsi="Calibri" w:eastAsia="宋体" w:cs="Times New Roman"/>
      <w:kern w:val="2"/>
      <w:sz w:val="21"/>
      <w:szCs w:val="22"/>
      <w:lang w:val="en-US" w:eastAsia="zh-CN" w:bidi="ar-SA"/>
    </w:rPr>
  </w:style>
  <w:style w:type="paragraph" w:customStyle="1" w:styleId="16">
    <w:name w:val="列表段落1"/>
    <w:basedOn w:val="1"/>
    <w:qFormat/>
    <w:uiPriority w:val="0"/>
    <w:pPr>
      <w:ind w:firstLine="200" w:firstLineChars="200"/>
    </w:pPr>
    <w:rPr>
      <w:rFonts w:ascii="Cambria" w:hAnsi="Cambria" w:cs="Cambria"/>
      <w:szCs w:val="21"/>
    </w:rPr>
  </w:style>
  <w:style w:type="paragraph" w:customStyle="1" w:styleId="17">
    <w:name w:val="样式 2 10 磅"/>
    <w:qFormat/>
    <w:uiPriority w:val="0"/>
    <w:pPr>
      <w:widowControl w:val="0"/>
      <w:jc w:val="both"/>
    </w:pPr>
    <w:rPr>
      <w:rFonts w:ascii="Times New Roman" w:hAnsi="Times New Roman" w:eastAsia="宋体" w:cs="Times New Roman"/>
      <w:kern w:val="2"/>
      <w:sz w:val="21"/>
      <w:szCs w:val="20"/>
      <w:lang w:val="en-US" w:eastAsia="zh-CN" w:bidi="ar-SA"/>
    </w:rPr>
  </w:style>
  <w:style w:type="paragraph" w:customStyle="1" w:styleId="18">
    <w:name w:val="样式 1 10 磅"/>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19">
    <w:name w:val="List Paragraph"/>
    <w:basedOn w:val="1"/>
    <w:qFormat/>
    <w:uiPriority w:val="34"/>
    <w:pPr>
      <w:ind w:firstLine="420" w:firstLineChars="200"/>
    </w:pPr>
    <w:rPr>
      <w:rFonts w:ascii="Times New Roman" w:hAnsi="Times New Roman"/>
      <w:szCs w:val="20"/>
    </w:rPr>
  </w:style>
  <w:style w:type="paragraph" w:customStyle="1" w:styleId="20">
    <w:name w:val="样式 41 10 磅"/>
    <w:qFormat/>
    <w:uiPriority w:val="0"/>
    <w:pPr>
      <w:widowControl w:val="0"/>
      <w:jc w:val="both"/>
    </w:pPr>
    <w:rPr>
      <w:rFonts w:ascii="Times New Roman" w:hAnsi="Times New Roman" w:eastAsia="宋体" w:cs="Times New Roman"/>
      <w:kern w:val="2"/>
      <w:sz w:val="21"/>
      <w:szCs w:val="20"/>
      <w:lang w:val="en-US" w:eastAsia="zh-CN" w:bidi="ar-SA"/>
    </w:rPr>
  </w:style>
  <w:style w:type="paragraph" w:customStyle="1" w:styleId="21">
    <w:name w:val="样式 39 10 磅"/>
    <w:qFormat/>
    <w:uiPriority w:val="0"/>
    <w:pPr>
      <w:widowControl w:val="0"/>
      <w:jc w:val="both"/>
    </w:pPr>
    <w:rPr>
      <w:rFonts w:ascii="Times New Roman" w:hAnsi="Times New Roman" w:eastAsia="宋体" w:cs="Times New Roman"/>
      <w:kern w:val="2"/>
      <w:sz w:val="21"/>
      <w:szCs w:val="20"/>
      <w:lang w:val="en-US" w:eastAsia="zh-CN" w:bidi="ar-SA"/>
    </w:rPr>
  </w:style>
  <w:style w:type="paragraph" w:customStyle="1" w:styleId="22">
    <w:name w:val="列表段落2"/>
    <w:basedOn w:val="1"/>
    <w:qFormat/>
    <w:uiPriority w:val="0"/>
    <w:pPr>
      <w:ind w:firstLine="200" w:firstLineChars="200"/>
    </w:pPr>
    <w:rPr>
      <w:rFonts w:ascii="Cambria" w:hAnsi="Cambria" w:cs="Cambria"/>
      <w:szCs w:val="21"/>
    </w:rPr>
  </w:style>
  <w:style w:type="character" w:customStyle="1" w:styleId="23">
    <w:name w:val="未处理的提及1"/>
    <w:semiHidden/>
    <w:unhideWhenUsed/>
    <w:qFormat/>
    <w:uiPriority w:val="99"/>
    <w:rPr>
      <w:color w:val="605E5C"/>
      <w:shd w:val="clear" w:color="auto" w:fill="E1DFDD"/>
    </w:rPr>
  </w:style>
  <w:style w:type="paragraph" w:customStyle="1" w:styleId="24">
    <w:name w:val="样式 17 10 磅"/>
    <w:qFormat/>
    <w:uiPriority w:val="0"/>
    <w:pPr>
      <w:widowControl w:val="0"/>
      <w:jc w:val="both"/>
    </w:pPr>
    <w:rPr>
      <w:rFonts w:ascii="Times New Roman" w:hAnsi="Times New Roman" w:eastAsia="宋体" w:cs="Times New Roman"/>
      <w:kern w:val="2"/>
      <w:sz w:val="21"/>
      <w:szCs w:val="20"/>
      <w:lang w:val="en-US" w:eastAsia="zh-CN" w:bidi="ar-SA"/>
    </w:rPr>
  </w:style>
  <w:style w:type="character" w:customStyle="1" w:styleId="25">
    <w:name w:val="font21"/>
    <w:basedOn w:val="8"/>
    <w:qFormat/>
    <w:uiPriority w:val="0"/>
    <w:rPr>
      <w:rFonts w:ascii="宋体" w:eastAsia="宋体" w:cs="宋体"/>
      <w:color w:val="000000"/>
      <w:sz w:val="21"/>
      <w:szCs w:val="21"/>
      <w:u w:val="none"/>
      <w:lang w:bidi="ar-SA"/>
    </w:rPr>
  </w:style>
  <w:style w:type="character" w:customStyle="1" w:styleId="26">
    <w:name w:val="font11"/>
    <w:basedOn w:val="8"/>
    <w:qFormat/>
    <w:uiPriority w:val="0"/>
    <w:rPr>
      <w:rFonts w:ascii="Times New Roman" w:hAnsi="Times New Roman" w:cs="Times New Roman"/>
      <w:color w:val="000000"/>
      <w:sz w:val="21"/>
      <w:szCs w:val="21"/>
      <w:u w:val="none"/>
      <w:lang w:bidi="ar-SA"/>
    </w:rPr>
  </w:style>
  <w:style w:type="character" w:customStyle="1" w:styleId="27">
    <w:name w:val="font01"/>
    <w:basedOn w:val="8"/>
    <w:qFormat/>
    <w:uiPriority w:val="0"/>
    <w:rPr>
      <w:rFonts w:ascii="宋体" w:eastAsia="宋体" w:cs="宋体"/>
      <w:color w:val="000000"/>
      <w:sz w:val="21"/>
      <w:szCs w:val="21"/>
      <w:u w:val="none"/>
      <w:lang w:bidi="ar-SA"/>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Info spid="_x0000_s1026"/>
    <customShpInfo spid="_x0000_s102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6814</Words>
  <Characters>6960</Characters>
  <Lines>567</Lines>
  <Paragraphs>271</Paragraphs>
  <TotalTime>1</TotalTime>
  <ScaleCrop>false</ScaleCrop>
  <LinksUpToDate>false</LinksUpToDate>
  <CharactersWithSpaces>6974</CharactersWithSpaces>
  <Application>WPS Office_11.1.0.12132_F1E327BC-269C-435d-A152-05C5408002CA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2021-04-14T08:06:00Z</dcterms:created>
  <dc:creator>JYS</dc:creator>
  <cp:lastModifiedBy>WPS_1675652380</cp:lastModifiedBy>
  <dcterms:modified xsi:type="dcterms:W3CDTF">2023-02-16T10:29:17Z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2052-11.1.0.12132</vt:lpwstr>
  </property>
  <property fmtid="{D5CDD505-2E9C-101B-9397-08002B2CF9AE}" pid="3" name="ICV">
    <vt:lpwstr>55EC6BA958B04E48A53038FF754113E9</vt:lpwstr>
  </property>
</Properties>
</file>